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A03419" w14:textId="77777777" w:rsidR="00B41554" w:rsidRDefault="00B41554" w:rsidP="00B41554">
      <w:pPr>
        <w:pStyle w:val="NormalWeb"/>
        <w:spacing w:before="0" w:beforeAutospacing="0" w:after="0" w:afterAutospacing="0"/>
        <w:jc w:val="center"/>
        <w:rPr>
          <w:b/>
        </w:rPr>
      </w:pPr>
      <w:bookmarkStart w:id="0" w:name="_CITRUS_END"/>
      <w:r>
        <w:rPr>
          <w:b/>
        </w:rPr>
        <w:t xml:space="preserve">UNITED STATES DISTRICT COURT </w:t>
      </w:r>
    </w:p>
    <w:p w14:paraId="58FB83AA" w14:textId="77777777" w:rsidR="00B41554" w:rsidRDefault="00B41554" w:rsidP="00B41554">
      <w:pPr>
        <w:pStyle w:val="NormalWeb"/>
        <w:spacing w:before="0" w:beforeAutospacing="0" w:after="0" w:afterAutospacing="0"/>
        <w:jc w:val="center"/>
        <w:rPr>
          <w:b/>
        </w:rPr>
      </w:pPr>
      <w:r>
        <w:rPr>
          <w:b/>
        </w:rPr>
        <w:t>FOR THE DISTRICT OF MOOT</w:t>
      </w:r>
    </w:p>
    <w:p w14:paraId="43F6EFD8" w14:textId="77777777" w:rsidR="00B41554" w:rsidRDefault="00B41554" w:rsidP="00B41554">
      <w:pPr>
        <w:pStyle w:val="NormalWeb"/>
        <w:spacing w:before="0" w:beforeAutospacing="0" w:after="0" w:afterAutospacing="0"/>
        <w:jc w:val="center"/>
        <w:rPr>
          <w:b/>
        </w:rPr>
      </w:pPr>
    </w:p>
    <w:p w14:paraId="735BF833" w14:textId="77777777" w:rsidR="00B41554" w:rsidRDefault="00B41554" w:rsidP="00B41554">
      <w:pPr>
        <w:pStyle w:val="NormalWeb"/>
        <w:spacing w:before="0" w:beforeAutospacing="0" w:after="0" w:afterAutospacing="0"/>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2A4DA85A" w14:textId="77777777" w:rsidR="00B41554" w:rsidRDefault="00B41554" w:rsidP="00B41554">
      <w:pPr>
        <w:pStyle w:val="NormalWeb"/>
        <w:spacing w:before="0" w:beforeAutospacing="0" w:after="0" w:afterAutospacing="0"/>
      </w:pPr>
    </w:p>
    <w:p w14:paraId="004046DC" w14:textId="77777777" w:rsidR="00B41554" w:rsidRDefault="00B41554" w:rsidP="00B41554">
      <w:pPr>
        <w:pStyle w:val="NormalWeb"/>
        <w:spacing w:before="0" w:beforeAutospacing="0" w:after="0" w:afterAutospacing="0"/>
      </w:pPr>
      <w:r>
        <w:t xml:space="preserve">OGS TV, INC., </w:t>
      </w:r>
      <w:r>
        <w:tab/>
      </w:r>
      <w:r>
        <w:tab/>
      </w:r>
      <w:r>
        <w:tab/>
      </w:r>
      <w:r>
        <w:tab/>
      </w:r>
      <w:r>
        <w:tab/>
      </w:r>
      <w:r>
        <w:tab/>
      </w:r>
    </w:p>
    <w:p w14:paraId="3CEB284F" w14:textId="77777777" w:rsidR="00B41554" w:rsidRDefault="00B41554" w:rsidP="00B41554">
      <w:pPr>
        <w:pStyle w:val="NormalWeb"/>
        <w:spacing w:before="0" w:beforeAutospacing="0" w:after="0" w:afterAutospacing="0"/>
      </w:pPr>
      <w:r>
        <w:tab/>
      </w:r>
      <w:r>
        <w:tab/>
      </w:r>
      <w:r>
        <w:tab/>
      </w:r>
      <w:r>
        <w:tab/>
        <w:t xml:space="preserve"> Plaintiff,</w:t>
      </w:r>
      <w:r>
        <w:tab/>
      </w:r>
      <w:r>
        <w:tab/>
      </w:r>
      <w:r>
        <w:tab/>
      </w:r>
      <w:r>
        <w:tab/>
      </w:r>
      <w:r>
        <w:rPr>
          <w:b/>
        </w:rPr>
        <w:t>Case No. 27-CV-12-1234</w:t>
      </w:r>
    </w:p>
    <w:p w14:paraId="247635FF" w14:textId="77777777" w:rsidR="00B41554" w:rsidRDefault="00B41554" w:rsidP="00B41554">
      <w:pPr>
        <w:pStyle w:val="NormalWeb"/>
        <w:spacing w:before="0" w:beforeAutospacing="0" w:after="0" w:afterAutospacing="0"/>
      </w:pPr>
    </w:p>
    <w:p w14:paraId="66022A96" w14:textId="77777777" w:rsidR="00B41554" w:rsidRDefault="00B41554" w:rsidP="00B41554">
      <w:pPr>
        <w:pStyle w:val="NormalWeb"/>
        <w:spacing w:before="0" w:beforeAutospacing="0" w:after="0" w:afterAutospacing="0"/>
      </w:pPr>
      <w:r>
        <w:t xml:space="preserve">v. </w:t>
      </w:r>
    </w:p>
    <w:p w14:paraId="7C28AA1C" w14:textId="77777777" w:rsidR="00B41554" w:rsidRDefault="00B41554" w:rsidP="00B41554">
      <w:pPr>
        <w:pStyle w:val="NormalWeb"/>
        <w:spacing w:before="0" w:beforeAutospacing="0" w:after="0" w:afterAutospacing="0"/>
      </w:pPr>
    </w:p>
    <w:p w14:paraId="3F12EA69" w14:textId="77777777" w:rsidR="00B41554" w:rsidRDefault="00B41554" w:rsidP="00B41554">
      <w:pPr>
        <w:pStyle w:val="NormalWeb"/>
        <w:spacing w:before="0" w:beforeAutospacing="0" w:after="0" w:afterAutospacing="0"/>
      </w:pPr>
      <w:r>
        <w:t>ELIZABETH LIME, and TINYTV, INC.,</w:t>
      </w:r>
    </w:p>
    <w:p w14:paraId="53B789E5" w14:textId="77777777" w:rsidR="00B41554" w:rsidRDefault="00B41554" w:rsidP="00B41554">
      <w:pPr>
        <w:pStyle w:val="NormalWeb"/>
        <w:spacing w:before="0" w:beforeAutospacing="0" w:after="0" w:afterAutospacing="0"/>
      </w:pPr>
      <w:r>
        <w:tab/>
      </w:r>
      <w:r>
        <w:tab/>
      </w:r>
      <w:r>
        <w:tab/>
      </w:r>
      <w:r>
        <w:tab/>
        <w:t>Defendants,</w:t>
      </w:r>
      <w:r>
        <w:tab/>
      </w:r>
      <w:r>
        <w:tab/>
      </w:r>
      <w:r>
        <w:tab/>
      </w:r>
      <w:r>
        <w:tab/>
      </w:r>
      <w:r>
        <w:tab/>
      </w:r>
      <w:r>
        <w:tab/>
      </w:r>
    </w:p>
    <w:p w14:paraId="43320888" w14:textId="77777777" w:rsidR="00B41554" w:rsidRDefault="00B41554" w:rsidP="00B41554">
      <w:pPr>
        <w:pStyle w:val="NormalWeb"/>
        <w:spacing w:before="0" w:beforeAutospacing="0" w:after="0" w:afterAutospacing="0"/>
        <w:ind w:left="6480"/>
        <w:rPr>
          <w:b/>
        </w:rPr>
      </w:pPr>
      <w:r>
        <w:rPr>
          <w:b/>
        </w:rPr>
        <w:t>CERTIFICATE OF SERVICE</w:t>
      </w:r>
    </w:p>
    <w:p w14:paraId="717E2A49" w14:textId="77777777" w:rsidR="00B41554" w:rsidRDefault="00B41554" w:rsidP="00B41554">
      <w:pPr>
        <w:pStyle w:val="NormalWeb"/>
        <w:spacing w:before="0" w:beforeAutospacing="0" w:after="0" w:afterAutospacing="0"/>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10292D68" w14:textId="77777777" w:rsidR="00B41554" w:rsidRDefault="00B41554" w:rsidP="00B41554">
      <w:pPr>
        <w:pStyle w:val="NormalWeb"/>
        <w:spacing w:before="0" w:beforeAutospacing="0" w:after="0" w:afterAutospacing="0"/>
        <w:jc w:val="center"/>
        <w:rPr>
          <w:b/>
        </w:rPr>
      </w:pPr>
    </w:p>
    <w:p w14:paraId="16BF9E10" w14:textId="77777777" w:rsidR="00B41554" w:rsidRDefault="00B41554" w:rsidP="00B41554">
      <w:pPr>
        <w:pStyle w:val="NormalWeb"/>
        <w:spacing w:before="0" w:beforeAutospacing="0" w:after="0" w:afterAutospacing="0"/>
        <w:rPr>
          <w:b/>
        </w:rPr>
      </w:pPr>
    </w:p>
    <w:p w14:paraId="501F96E4" w14:textId="77777777" w:rsidR="00B41554" w:rsidRDefault="00D20716" w:rsidP="00B41554">
      <w:pPr>
        <w:spacing w:line="480" w:lineRule="auto"/>
        <w:ind w:firstLine="720"/>
      </w:pPr>
      <w:r>
        <w:t>&lt;</w:t>
      </w:r>
      <w:proofErr w:type="gramStart"/>
      <w:r>
        <w:t>redacted</w:t>
      </w:r>
      <w:proofErr w:type="gramEnd"/>
      <w:r>
        <w:t>&gt;&lt;/redacted&gt;</w:t>
      </w:r>
      <w:r w:rsidR="00B41554">
        <w:t>, being first duly sworn, states that on March 22, 2012, she served the following documents:</w:t>
      </w:r>
    </w:p>
    <w:p w14:paraId="66EC82D1" w14:textId="77777777" w:rsidR="00B41554" w:rsidRDefault="00B41554" w:rsidP="00B41554">
      <w:pPr>
        <w:rPr>
          <w:b/>
        </w:rPr>
      </w:pPr>
      <w:r>
        <w:rPr>
          <w:b/>
        </w:rPr>
        <w:t>1. Defendants’ Memorandum of Law in Support of Motion for Judgment on the Pleadings;</w:t>
      </w:r>
    </w:p>
    <w:p w14:paraId="1A636B89" w14:textId="77777777" w:rsidR="00B41554" w:rsidRDefault="00B41554" w:rsidP="00B41554">
      <w:pPr>
        <w:rPr>
          <w:b/>
        </w:rPr>
      </w:pPr>
      <w:r>
        <w:rPr>
          <w:b/>
        </w:rPr>
        <w:t>2. Notice of Motion and Motion for Judgment on the Pleadings; and</w:t>
      </w:r>
    </w:p>
    <w:p w14:paraId="732137EA" w14:textId="77777777" w:rsidR="00B41554" w:rsidRDefault="00B41554" w:rsidP="00B41554">
      <w:pPr>
        <w:rPr>
          <w:b/>
        </w:rPr>
      </w:pPr>
      <w:r>
        <w:rPr>
          <w:b/>
        </w:rPr>
        <w:t>3. Proposed Order Granting Defendants’ Motion for Judgment on the Pleadings.</w:t>
      </w:r>
    </w:p>
    <w:p w14:paraId="5C6B0158" w14:textId="77777777" w:rsidR="00B41554" w:rsidRDefault="00B41554" w:rsidP="00B41554">
      <w:pPr>
        <w:pStyle w:val="NoSpacing"/>
        <w:rPr>
          <w:rFonts w:ascii="Times New Roman" w:hAnsi="Times New Roman" w:cs="Times New Roman"/>
          <w:sz w:val="24"/>
          <w:szCs w:val="24"/>
        </w:rPr>
      </w:pPr>
      <w:r>
        <w:rPr>
          <w:rFonts w:ascii="Times New Roman" w:hAnsi="Times New Roman" w:cs="Times New Roman"/>
          <w:sz w:val="24"/>
          <w:szCs w:val="24"/>
        </w:rPr>
        <w:t>The documents were hand-delivered to:</w:t>
      </w:r>
    </w:p>
    <w:p w14:paraId="101F7832" w14:textId="77777777" w:rsidR="00B41554" w:rsidRDefault="00B41554" w:rsidP="00B41554">
      <w:pPr>
        <w:pStyle w:val="NoSpacing"/>
        <w:rPr>
          <w:rFonts w:ascii="Times New Roman" w:hAnsi="Times New Roman" w:cs="Times New Roman"/>
          <w:sz w:val="24"/>
          <w:szCs w:val="24"/>
        </w:rPr>
      </w:pPr>
    </w:p>
    <w:p w14:paraId="2252C6DF" w14:textId="77777777" w:rsidR="00B41554" w:rsidRDefault="00D20716" w:rsidP="00B41554">
      <w:pPr>
        <w:sectPr w:rsidR="00B41554">
          <w:pgSz w:w="12240" w:h="15840"/>
          <w:pgMar w:top="1440" w:right="1440" w:bottom="1440" w:left="1440" w:header="720" w:footer="720" w:gutter="0"/>
          <w:cols w:space="720"/>
        </w:sectPr>
      </w:pPr>
      <w:r>
        <w:t>&lt;</w:t>
      </w:r>
      <w:proofErr w:type="gramStart"/>
      <w:r>
        <w:t>redacted</w:t>
      </w:r>
      <w:proofErr w:type="gramEnd"/>
      <w:r>
        <w:t>&gt;&lt;/redacted&gt;</w:t>
      </w:r>
    </w:p>
    <w:p w14:paraId="5CA40F09" w14:textId="77777777" w:rsidR="00B41554" w:rsidRDefault="00B41554" w:rsidP="00B41554"/>
    <w:p w14:paraId="1CE1A4B0" w14:textId="77777777" w:rsidR="00B41554" w:rsidRDefault="00B41554" w:rsidP="00B41554">
      <w:proofErr w:type="gramStart"/>
      <w:r>
        <w:rPr>
          <w:u w:val="single"/>
        </w:rPr>
        <w:t>s</w:t>
      </w:r>
      <w:proofErr w:type="gramEnd"/>
      <w:r>
        <w:rPr>
          <w:u w:val="single"/>
        </w:rPr>
        <w:t>/ Notary Public</w:t>
      </w:r>
      <w:r>
        <w:t>___________________</w:t>
      </w:r>
    </w:p>
    <w:p w14:paraId="1777B44E" w14:textId="77777777" w:rsidR="00B41554" w:rsidRDefault="00B41554" w:rsidP="00B41554">
      <w:r>
        <w:t>Notary Public</w:t>
      </w:r>
    </w:p>
    <w:p w14:paraId="664CC8EF" w14:textId="77777777" w:rsidR="00B41554" w:rsidRDefault="00B41554" w:rsidP="00B41554">
      <w:r>
        <w:rPr>
          <w:noProof/>
        </w:rPr>
        <w:drawing>
          <wp:inline distT="0" distB="0" distL="0" distR="0" wp14:anchorId="6FA63798" wp14:editId="56AFC711">
            <wp:extent cx="561975" cy="5238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975" cy="523875"/>
                    </a:xfrm>
                    <a:prstGeom prst="rect">
                      <a:avLst/>
                    </a:prstGeom>
                    <a:noFill/>
                    <a:ln>
                      <a:noFill/>
                    </a:ln>
                  </pic:spPr>
                </pic:pic>
              </a:graphicData>
            </a:graphic>
          </wp:inline>
        </w:drawing>
      </w:r>
    </w:p>
    <w:p w14:paraId="2AC5664C" w14:textId="77777777" w:rsidR="00B41554" w:rsidRDefault="00B41554" w:rsidP="00B41554">
      <w:pPr>
        <w:tabs>
          <w:tab w:val="right" w:pos="4320"/>
        </w:tabs>
        <w:jc w:val="right"/>
      </w:pPr>
      <w:r>
        <w:br w:type="column"/>
      </w:r>
    </w:p>
    <w:p w14:paraId="71F2338B" w14:textId="77777777" w:rsidR="00B41554" w:rsidRDefault="00B41554" w:rsidP="00B41554">
      <w:pPr>
        <w:tabs>
          <w:tab w:val="right" w:pos="4320"/>
        </w:tabs>
        <w:jc w:val="right"/>
        <w:rPr>
          <w:u w:val="single"/>
        </w:rPr>
      </w:pPr>
      <w:r>
        <w:rPr>
          <w:u w:val="single"/>
        </w:rPr>
        <w:tab/>
      </w:r>
    </w:p>
    <w:p w14:paraId="73B055B4" w14:textId="77777777" w:rsidR="00B41554" w:rsidRDefault="00D20716" w:rsidP="00B41554">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&lt;</w:t>
      </w:r>
      <w:proofErr w:type="gramStart"/>
      <w:r>
        <w:rPr>
          <w:rFonts w:ascii="Times New Roman" w:eastAsia="Times New Roman" w:hAnsi="Times New Roman" w:cs="Times New Roman"/>
          <w:sz w:val="24"/>
          <w:szCs w:val="24"/>
        </w:rPr>
        <w:t>redacted</w:t>
      </w:r>
      <w:proofErr w:type="gramEnd"/>
      <w:r>
        <w:rPr>
          <w:rFonts w:ascii="Times New Roman" w:eastAsia="Times New Roman" w:hAnsi="Times New Roman" w:cs="Times New Roman"/>
          <w:sz w:val="24"/>
          <w:szCs w:val="24"/>
        </w:rPr>
        <w:t>&gt;&lt;/redacted&gt;</w:t>
      </w:r>
    </w:p>
    <w:p w14:paraId="4ED4BE1F" w14:textId="77777777" w:rsidR="00D20716" w:rsidRDefault="00D20716" w:rsidP="00B41554">
      <w:pPr>
        <w:pStyle w:val="NoSpacing"/>
        <w:rPr>
          <w:rFonts w:ascii="Times New Roman" w:hAnsi="Times New Roman" w:cs="Times New Roman"/>
          <w:sz w:val="24"/>
          <w:szCs w:val="24"/>
        </w:rPr>
      </w:pPr>
    </w:p>
    <w:p w14:paraId="528E7C1C" w14:textId="77777777" w:rsidR="00B41554" w:rsidRDefault="00B41554" w:rsidP="00B41554">
      <w:proofErr w:type="gramStart"/>
      <w:r>
        <w:t xml:space="preserve">Attorney for Defendants Elizabeth Lime and </w:t>
      </w:r>
      <w:proofErr w:type="spellStart"/>
      <w:r>
        <w:t>TinyTV</w:t>
      </w:r>
      <w:proofErr w:type="spellEnd"/>
      <w:r>
        <w:t>, Inc.</w:t>
      </w:r>
      <w:proofErr w:type="gramEnd"/>
    </w:p>
    <w:p w14:paraId="3F3C17A3" w14:textId="77777777" w:rsidR="00B41554" w:rsidRDefault="00B41554" w:rsidP="00B41554">
      <w:pPr>
        <w:sectPr w:rsidR="00B41554">
          <w:type w:val="continuous"/>
          <w:pgSz w:w="12240" w:h="15840"/>
          <w:pgMar w:top="1440" w:right="1440" w:bottom="1440" w:left="1440" w:header="720" w:footer="720" w:gutter="0"/>
          <w:cols w:num="2" w:space="720"/>
        </w:sectPr>
      </w:pPr>
    </w:p>
    <w:p w14:paraId="7F639D68" w14:textId="77777777" w:rsidR="00B41554" w:rsidRDefault="00B41554" w:rsidP="00B41554">
      <w:pPr>
        <w:pStyle w:val="NormalWeb"/>
        <w:spacing w:before="0" w:beforeAutospacing="0" w:after="0" w:afterAutospacing="0"/>
        <w:jc w:val="center"/>
        <w:rPr>
          <w:b/>
        </w:rPr>
      </w:pPr>
      <w:r>
        <w:rPr>
          <w:b/>
        </w:rPr>
        <w:lastRenderedPageBreak/>
        <w:t xml:space="preserve">UNITED STATES DISTRICT COURT </w:t>
      </w:r>
    </w:p>
    <w:p w14:paraId="2B9A8CC7" w14:textId="77777777" w:rsidR="00B41554" w:rsidRDefault="00B41554" w:rsidP="00B41554">
      <w:pPr>
        <w:pStyle w:val="NormalWeb"/>
        <w:spacing w:before="0" w:beforeAutospacing="0" w:after="0" w:afterAutospacing="0"/>
        <w:jc w:val="center"/>
        <w:rPr>
          <w:b/>
        </w:rPr>
      </w:pPr>
      <w:r>
        <w:rPr>
          <w:b/>
        </w:rPr>
        <w:t>FOR THE DISTRICT OF MOOT</w:t>
      </w:r>
    </w:p>
    <w:p w14:paraId="63177AA5" w14:textId="77777777" w:rsidR="00B41554" w:rsidRDefault="00B41554" w:rsidP="00B41554">
      <w:pPr>
        <w:pStyle w:val="NormalWeb"/>
        <w:spacing w:before="0" w:beforeAutospacing="0" w:after="0" w:afterAutospacing="0"/>
        <w:jc w:val="center"/>
        <w:rPr>
          <w:b/>
        </w:rPr>
      </w:pPr>
    </w:p>
    <w:p w14:paraId="16C8E94E" w14:textId="77777777" w:rsidR="00B41554" w:rsidRDefault="00B41554" w:rsidP="00B41554">
      <w:pPr>
        <w:pStyle w:val="NormalWeb"/>
        <w:spacing w:before="0" w:beforeAutospacing="0" w:after="0" w:afterAutospacing="0"/>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34AB1540" w14:textId="77777777" w:rsidR="00B41554" w:rsidRDefault="00B41554" w:rsidP="00B41554">
      <w:pPr>
        <w:pStyle w:val="NormalWeb"/>
        <w:spacing w:before="0" w:beforeAutospacing="0" w:after="0" w:afterAutospacing="0"/>
      </w:pPr>
    </w:p>
    <w:p w14:paraId="225B0FC5" w14:textId="77777777" w:rsidR="00B41554" w:rsidRDefault="00B41554" w:rsidP="00B41554">
      <w:pPr>
        <w:pStyle w:val="NormalWeb"/>
        <w:spacing w:before="0" w:beforeAutospacing="0" w:after="0" w:afterAutospacing="0"/>
      </w:pPr>
      <w:r>
        <w:t xml:space="preserve">OGS TV, INC., </w:t>
      </w:r>
      <w:r>
        <w:tab/>
      </w:r>
      <w:r>
        <w:tab/>
      </w:r>
      <w:r>
        <w:tab/>
      </w:r>
      <w:r>
        <w:tab/>
      </w:r>
      <w:r>
        <w:tab/>
      </w:r>
      <w:r>
        <w:tab/>
      </w:r>
    </w:p>
    <w:p w14:paraId="1A78B20A" w14:textId="77777777" w:rsidR="00B41554" w:rsidRDefault="00F840A8" w:rsidP="00B41554">
      <w:pPr>
        <w:pStyle w:val="NormalWeb"/>
        <w:spacing w:before="0" w:beforeAutospacing="0" w:after="0" w:afterAutospacing="0"/>
      </w:pPr>
      <w:r>
        <w:tab/>
      </w:r>
      <w:r>
        <w:tab/>
      </w:r>
      <w:r>
        <w:tab/>
      </w:r>
      <w:r>
        <w:tab/>
        <w:t xml:space="preserve"> Plaintiff</w:t>
      </w:r>
      <w:r w:rsidR="00B41554">
        <w:t>,</w:t>
      </w:r>
      <w:r w:rsidR="00B41554">
        <w:tab/>
      </w:r>
      <w:r w:rsidR="00B41554">
        <w:tab/>
      </w:r>
      <w:r w:rsidR="00B41554">
        <w:tab/>
      </w:r>
      <w:r w:rsidR="00B41554">
        <w:tab/>
      </w:r>
      <w:r w:rsidR="00B41554">
        <w:rPr>
          <w:b/>
        </w:rPr>
        <w:t>Case No. 27-CV-12-1234</w:t>
      </w:r>
    </w:p>
    <w:p w14:paraId="2352E953" w14:textId="77777777" w:rsidR="00B41554" w:rsidRDefault="00B41554" w:rsidP="00B41554">
      <w:pPr>
        <w:pStyle w:val="NormalWeb"/>
        <w:spacing w:before="0" w:beforeAutospacing="0" w:after="0" w:afterAutospacing="0"/>
      </w:pPr>
    </w:p>
    <w:p w14:paraId="3ECDD7C4" w14:textId="77777777" w:rsidR="00B41554" w:rsidRDefault="00B41554" w:rsidP="00B41554">
      <w:pPr>
        <w:pStyle w:val="NormalWeb"/>
        <w:spacing w:before="0" w:beforeAutospacing="0" w:after="0" w:afterAutospacing="0"/>
      </w:pPr>
      <w:r>
        <w:t xml:space="preserve">v. </w:t>
      </w:r>
    </w:p>
    <w:p w14:paraId="79DB4008" w14:textId="77777777" w:rsidR="00B41554" w:rsidRDefault="00B41554" w:rsidP="00B41554">
      <w:pPr>
        <w:pStyle w:val="NormalWeb"/>
        <w:spacing w:before="0" w:beforeAutospacing="0" w:after="0" w:afterAutospacing="0"/>
      </w:pPr>
    </w:p>
    <w:p w14:paraId="6B347E32" w14:textId="77777777" w:rsidR="00B41554" w:rsidRDefault="00B41554" w:rsidP="00B41554">
      <w:pPr>
        <w:pStyle w:val="NormalWeb"/>
        <w:spacing w:before="0" w:beforeAutospacing="0" w:after="0" w:afterAutospacing="0"/>
      </w:pPr>
      <w:r>
        <w:t xml:space="preserve">ELIZABETH LIME, and TINYTV, INC., </w:t>
      </w:r>
    </w:p>
    <w:p w14:paraId="57DA37C7" w14:textId="77777777" w:rsidR="00B41554" w:rsidRDefault="00B41554" w:rsidP="00B41554">
      <w:pPr>
        <w:pStyle w:val="NormalWeb"/>
        <w:spacing w:before="0" w:beforeAutospacing="0" w:after="0" w:afterAutospacing="0"/>
      </w:pPr>
      <w:r>
        <w:tab/>
      </w:r>
      <w:r>
        <w:tab/>
      </w:r>
      <w:r>
        <w:tab/>
      </w:r>
      <w:r>
        <w:tab/>
        <w:t>Defendants,</w:t>
      </w:r>
      <w:r>
        <w:tab/>
      </w:r>
      <w:r>
        <w:tab/>
      </w:r>
      <w:r>
        <w:tab/>
      </w:r>
      <w:r>
        <w:tab/>
      </w:r>
      <w:r>
        <w:tab/>
      </w:r>
      <w:r>
        <w:tab/>
      </w:r>
    </w:p>
    <w:p w14:paraId="699AB19F" w14:textId="77777777" w:rsidR="00B41554" w:rsidRDefault="00B41554" w:rsidP="00B41554">
      <w:pPr>
        <w:pStyle w:val="NormalWeb"/>
        <w:spacing w:before="0" w:beforeAutospacing="0" w:after="0" w:afterAutospacing="0"/>
        <w:ind w:left="6480"/>
        <w:rPr>
          <w:b/>
        </w:rPr>
      </w:pPr>
      <w:r>
        <w:rPr>
          <w:b/>
        </w:rPr>
        <w:t xml:space="preserve">NOTICE OF MOTION AND MOTION </w:t>
      </w:r>
    </w:p>
    <w:p w14:paraId="6E9D02EA" w14:textId="77777777" w:rsidR="00B41554" w:rsidRDefault="00B41554" w:rsidP="00B41554">
      <w:pPr>
        <w:pStyle w:val="NormalWeb"/>
        <w:spacing w:before="0" w:beforeAutospacing="0" w:after="0" w:afterAutospacing="0"/>
        <w:ind w:left="6480"/>
        <w:rPr>
          <w:b/>
        </w:rPr>
      </w:pPr>
      <w:r>
        <w:rPr>
          <w:b/>
        </w:rPr>
        <w:t>FOR JUDGMENT ON THE PLEADINGS</w:t>
      </w:r>
    </w:p>
    <w:p w14:paraId="1885C944" w14:textId="77777777" w:rsidR="00B41554" w:rsidRDefault="00B41554" w:rsidP="00B41554">
      <w:pPr>
        <w:pStyle w:val="NormalWeb"/>
        <w:spacing w:before="0" w:beforeAutospacing="0" w:after="0" w:afterAutospacing="0"/>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F86EBBA" w14:textId="77777777" w:rsidR="00B41554" w:rsidRDefault="00B41554" w:rsidP="00B41554">
      <w:pPr>
        <w:pStyle w:val="NormalWeb"/>
        <w:spacing w:before="0" w:beforeAutospacing="0" w:after="0" w:afterAutospacing="0"/>
      </w:pPr>
    </w:p>
    <w:p w14:paraId="560E16FC" w14:textId="77777777" w:rsidR="00F840A8" w:rsidRDefault="00B41554" w:rsidP="00F840A8">
      <w:pPr>
        <w:spacing w:line="480" w:lineRule="auto"/>
      </w:pPr>
      <w:r>
        <w:t>TO: Plaintiff OGS TV, Inc. and its counsel, Kirk Carter, 1500 Silver Lane, Capital City, Moot.</w:t>
      </w:r>
    </w:p>
    <w:p w14:paraId="7594A845" w14:textId="77777777" w:rsidR="00B41554" w:rsidRDefault="00B41554" w:rsidP="00F840A8">
      <w:pPr>
        <w:spacing w:line="480" w:lineRule="auto"/>
        <w:ind w:firstLine="720"/>
      </w:pPr>
      <w:r>
        <w:t xml:space="preserve">PLEASE TAKE NOTICE that at 4:00 p.m. on March, 22, 2012, or as soon thereafter as counsel may be heard, Defendants Elizabeth Lime and </w:t>
      </w:r>
      <w:proofErr w:type="spellStart"/>
      <w:r>
        <w:t>TinyTV</w:t>
      </w:r>
      <w:proofErr w:type="spellEnd"/>
      <w:r>
        <w:t>, Inc. will bring a Motion for Judgment on the Pleadings for hearing before the Honorable Beatrice Fair, United States District Judge, United States District Courthouse, Capital City, Moot.</w:t>
      </w:r>
    </w:p>
    <w:p w14:paraId="63086064" w14:textId="77777777" w:rsidR="00B41554" w:rsidRPr="00B41554" w:rsidRDefault="00B41554" w:rsidP="00F840A8">
      <w:pPr>
        <w:spacing w:line="480" w:lineRule="auto"/>
        <w:ind w:firstLine="720"/>
      </w:pPr>
      <w:bookmarkStart w:id="1" w:name="CITRUS_HEADING145729119"/>
      <w:r w:rsidRPr="00B41554">
        <w:t xml:space="preserve">This Motion is made pursuant to Federal Rule of Civil Procedure 12(c).  Plaintiff Complaint fails to state a claim on which relief can be granted because the Complaint incorrectly interprets 17 U.S.C. § 101.  The relied upon statute is not a basis for recovery because the parties did not sign a “made for hire” agreement prior to the creation of the screenplay.  </w:t>
      </w:r>
    </w:p>
    <w:bookmarkEnd w:id="1"/>
    <w:p w14:paraId="5366C9F3" w14:textId="77777777" w:rsidR="00B41554" w:rsidRDefault="00B41554" w:rsidP="00B41554">
      <w:pPr>
        <w:tabs>
          <w:tab w:val="right" w:pos="4320"/>
        </w:tabs>
      </w:pPr>
    </w:p>
    <w:p w14:paraId="295E3F27" w14:textId="77777777" w:rsidR="00B41554" w:rsidRDefault="00B41554" w:rsidP="00B41554">
      <w:pPr>
        <w:tabs>
          <w:tab w:val="right" w:pos="4320"/>
        </w:tabs>
        <w:rPr>
          <w:u w:val="single"/>
        </w:rPr>
      </w:pPr>
      <w:r>
        <w:t>Dated: March 22, 2012</w:t>
      </w:r>
      <w:r>
        <w:tab/>
      </w:r>
      <w:r>
        <w:tab/>
      </w:r>
      <w:r>
        <w:tab/>
      </w:r>
      <w:r>
        <w:rPr>
          <w:u w:val="single"/>
        </w:rPr>
        <w:tab/>
      </w:r>
      <w:r>
        <w:rPr>
          <w:u w:val="single"/>
        </w:rPr>
        <w:tab/>
      </w:r>
      <w:r>
        <w:rPr>
          <w:u w:val="single"/>
        </w:rPr>
        <w:tab/>
      </w:r>
      <w:r>
        <w:rPr>
          <w:u w:val="single"/>
        </w:rPr>
        <w:tab/>
      </w:r>
      <w:r>
        <w:rPr>
          <w:u w:val="single"/>
        </w:rPr>
        <w:tab/>
      </w:r>
    </w:p>
    <w:p w14:paraId="1FA986C6" w14:textId="77777777" w:rsidR="00B41554" w:rsidRDefault="00D20716" w:rsidP="00B41554">
      <w:pPr>
        <w:pStyle w:val="NoSpacing"/>
        <w:rPr>
          <w:rFonts w:ascii="Times New Roman" w:hAnsi="Times New Roman" w:cs="Times New Roman"/>
          <w:sz w:val="24"/>
          <w:szCs w:val="24"/>
        </w:rPr>
      </w:pPr>
      <w:r>
        <w:rPr>
          <w:rFonts w:ascii="Times New Roman" w:eastAsia="Times New Roman" w:hAnsi="Times New Roman" w:cs="Times New Roman"/>
          <w:sz w:val="24"/>
          <w:szCs w:val="24"/>
        </w:rPr>
        <w:t>&lt;</w:t>
      </w:r>
      <w:proofErr w:type="gramStart"/>
      <w:r>
        <w:rPr>
          <w:rFonts w:ascii="Times New Roman" w:eastAsia="Times New Roman" w:hAnsi="Times New Roman" w:cs="Times New Roman"/>
          <w:sz w:val="24"/>
          <w:szCs w:val="24"/>
        </w:rPr>
        <w:t>redacted</w:t>
      </w:r>
      <w:proofErr w:type="gramEnd"/>
      <w:r>
        <w:rPr>
          <w:rFonts w:ascii="Times New Roman" w:eastAsia="Times New Roman" w:hAnsi="Times New Roman" w:cs="Times New Roman"/>
          <w:sz w:val="24"/>
          <w:szCs w:val="24"/>
        </w:rPr>
        <w:t>&gt;&lt;/redacted&gt;</w:t>
      </w:r>
      <w:r w:rsidR="00B41554">
        <w:rPr>
          <w:rFonts w:ascii="Times New Roman" w:hAnsi="Times New Roman" w:cs="Times New Roman"/>
          <w:sz w:val="24"/>
          <w:szCs w:val="24"/>
        </w:rPr>
        <w:tab/>
      </w:r>
      <w:r w:rsidR="00B41554">
        <w:rPr>
          <w:rFonts w:ascii="Times New Roman" w:hAnsi="Times New Roman" w:cs="Times New Roman"/>
          <w:sz w:val="24"/>
          <w:szCs w:val="24"/>
        </w:rPr>
        <w:tab/>
      </w:r>
      <w:r w:rsidR="00B41554">
        <w:rPr>
          <w:rFonts w:ascii="Times New Roman" w:hAnsi="Times New Roman" w:cs="Times New Roman"/>
          <w:sz w:val="24"/>
          <w:szCs w:val="24"/>
        </w:rPr>
        <w:tab/>
      </w:r>
      <w:r w:rsidR="00B41554">
        <w:rPr>
          <w:rFonts w:ascii="Times New Roman" w:hAnsi="Times New Roman" w:cs="Times New Roman"/>
          <w:sz w:val="24"/>
          <w:szCs w:val="24"/>
        </w:rPr>
        <w:tab/>
      </w:r>
      <w:r w:rsidR="00B41554">
        <w:rPr>
          <w:rFonts w:ascii="Times New Roman" w:hAnsi="Times New Roman" w:cs="Times New Roman"/>
          <w:sz w:val="24"/>
          <w:szCs w:val="24"/>
        </w:rPr>
        <w:tab/>
      </w:r>
      <w:r w:rsidR="00B41554">
        <w:rPr>
          <w:rFonts w:ascii="Times New Roman" w:hAnsi="Times New Roman" w:cs="Times New Roman"/>
          <w:sz w:val="24"/>
          <w:szCs w:val="24"/>
        </w:rPr>
        <w:tab/>
      </w:r>
      <w:r w:rsidR="00B41554">
        <w:rPr>
          <w:rFonts w:ascii="Times New Roman" w:hAnsi="Times New Roman" w:cs="Times New Roman"/>
          <w:sz w:val="24"/>
          <w:szCs w:val="24"/>
        </w:rPr>
        <w:tab/>
      </w:r>
      <w:r w:rsidR="00B41554">
        <w:rPr>
          <w:rFonts w:ascii="Times New Roman" w:hAnsi="Times New Roman" w:cs="Times New Roman"/>
          <w:sz w:val="24"/>
          <w:szCs w:val="24"/>
        </w:rPr>
        <w:tab/>
      </w:r>
    </w:p>
    <w:p w14:paraId="45A417F8" w14:textId="77777777" w:rsidR="00B41554" w:rsidRPr="00F840A8" w:rsidRDefault="00B41554" w:rsidP="00F840A8">
      <w:pPr>
        <w:pStyle w:val="NoSpacing"/>
        <w:ind w:left="5760"/>
        <w:rPr>
          <w:rFonts w:ascii="Times New Roman" w:hAnsi="Times New Roman" w:cs="Times New Roman"/>
          <w:sz w:val="24"/>
          <w:szCs w:val="24"/>
        </w:rPr>
      </w:pPr>
      <w:r>
        <w:rPr>
          <w:rFonts w:ascii="Times New Roman" w:hAnsi="Times New Roman" w:cs="Times New Roman"/>
          <w:sz w:val="24"/>
          <w:szCs w:val="24"/>
        </w:rPr>
        <w:t>Attorney for Defendants</w:t>
      </w:r>
      <w:r w:rsidR="00F840A8">
        <w:rPr>
          <w:rFonts w:ascii="Times New Roman" w:hAnsi="Times New Roman" w:cs="Times New Roman"/>
          <w:sz w:val="24"/>
          <w:szCs w:val="24"/>
        </w:rPr>
        <w:t xml:space="preserve"> Elizabeth Lime and </w:t>
      </w:r>
      <w:proofErr w:type="spellStart"/>
      <w:r w:rsidR="00F840A8">
        <w:rPr>
          <w:rFonts w:ascii="Times New Roman" w:hAnsi="Times New Roman" w:cs="Times New Roman"/>
          <w:sz w:val="24"/>
          <w:szCs w:val="24"/>
        </w:rPr>
        <w:t>TinyTV</w:t>
      </w:r>
      <w:proofErr w:type="spellEnd"/>
      <w:r w:rsidR="00F840A8">
        <w:rPr>
          <w:rFonts w:ascii="Times New Roman" w:hAnsi="Times New Roman" w:cs="Times New Roman"/>
          <w:sz w:val="24"/>
          <w:szCs w:val="24"/>
        </w:rPr>
        <w:t>, Inc.</w:t>
      </w:r>
    </w:p>
    <w:p w14:paraId="43386E38" w14:textId="77777777" w:rsidR="00D20716" w:rsidRDefault="00D20716" w:rsidP="00B41554">
      <w:pPr>
        <w:pStyle w:val="NormalWeb"/>
        <w:spacing w:before="0" w:beforeAutospacing="0" w:after="0" w:afterAutospacing="0"/>
        <w:jc w:val="center"/>
        <w:rPr>
          <w:b/>
        </w:rPr>
      </w:pPr>
    </w:p>
    <w:p w14:paraId="66E92E1D" w14:textId="77777777" w:rsidR="00D20716" w:rsidRDefault="00D20716" w:rsidP="00B41554">
      <w:pPr>
        <w:pStyle w:val="NormalWeb"/>
        <w:spacing w:before="0" w:beforeAutospacing="0" w:after="0" w:afterAutospacing="0"/>
        <w:jc w:val="center"/>
        <w:rPr>
          <w:b/>
        </w:rPr>
      </w:pPr>
    </w:p>
    <w:p w14:paraId="1A9AEB39" w14:textId="77777777" w:rsidR="00D20716" w:rsidRDefault="00D20716" w:rsidP="00B41554">
      <w:pPr>
        <w:pStyle w:val="NormalWeb"/>
        <w:spacing w:before="0" w:beforeAutospacing="0" w:after="0" w:afterAutospacing="0"/>
        <w:jc w:val="center"/>
        <w:rPr>
          <w:b/>
        </w:rPr>
      </w:pPr>
    </w:p>
    <w:p w14:paraId="443EB7A2" w14:textId="77777777" w:rsidR="00D20716" w:rsidRDefault="00D20716" w:rsidP="00B41554">
      <w:pPr>
        <w:pStyle w:val="NormalWeb"/>
        <w:spacing w:before="0" w:beforeAutospacing="0" w:after="0" w:afterAutospacing="0"/>
        <w:jc w:val="center"/>
        <w:rPr>
          <w:b/>
        </w:rPr>
      </w:pPr>
    </w:p>
    <w:p w14:paraId="35179818" w14:textId="77777777" w:rsidR="00D20716" w:rsidRDefault="00D20716" w:rsidP="00B41554">
      <w:pPr>
        <w:pStyle w:val="NormalWeb"/>
        <w:spacing w:before="0" w:beforeAutospacing="0" w:after="0" w:afterAutospacing="0"/>
        <w:jc w:val="center"/>
        <w:rPr>
          <w:b/>
        </w:rPr>
      </w:pPr>
    </w:p>
    <w:p w14:paraId="6532AD2E" w14:textId="77777777" w:rsidR="00B41554" w:rsidRDefault="00B41554" w:rsidP="00B41554">
      <w:pPr>
        <w:pStyle w:val="NormalWeb"/>
        <w:spacing w:before="0" w:beforeAutospacing="0" w:after="0" w:afterAutospacing="0"/>
        <w:jc w:val="center"/>
        <w:rPr>
          <w:b/>
        </w:rPr>
      </w:pPr>
      <w:r>
        <w:rPr>
          <w:b/>
        </w:rPr>
        <w:lastRenderedPageBreak/>
        <w:t xml:space="preserve">UNITED STATES DISTRICT COURT </w:t>
      </w:r>
    </w:p>
    <w:p w14:paraId="642A9D18" w14:textId="77777777" w:rsidR="00B41554" w:rsidRDefault="00B41554" w:rsidP="00B41554">
      <w:pPr>
        <w:pStyle w:val="NormalWeb"/>
        <w:spacing w:before="0" w:beforeAutospacing="0" w:after="0" w:afterAutospacing="0"/>
        <w:jc w:val="center"/>
        <w:rPr>
          <w:b/>
        </w:rPr>
      </w:pPr>
      <w:r>
        <w:rPr>
          <w:b/>
        </w:rPr>
        <w:t>FOR THE DISTRICT OF MOOT</w:t>
      </w:r>
    </w:p>
    <w:p w14:paraId="51D98453" w14:textId="77777777" w:rsidR="00B41554" w:rsidRDefault="00B41554" w:rsidP="00B41554">
      <w:pPr>
        <w:pStyle w:val="NormalWeb"/>
        <w:spacing w:before="0" w:beforeAutospacing="0" w:after="0" w:afterAutospacing="0"/>
        <w:jc w:val="center"/>
        <w:rPr>
          <w:b/>
        </w:rPr>
      </w:pPr>
    </w:p>
    <w:p w14:paraId="20B63F7E" w14:textId="77777777" w:rsidR="00B41554" w:rsidRDefault="00B41554" w:rsidP="00B41554">
      <w:pPr>
        <w:pStyle w:val="NormalWeb"/>
        <w:spacing w:before="0" w:beforeAutospacing="0" w:after="0" w:afterAutospacing="0"/>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AAE885D" w14:textId="77777777" w:rsidR="00B41554" w:rsidRDefault="00B41554" w:rsidP="00B41554">
      <w:pPr>
        <w:pStyle w:val="NormalWeb"/>
        <w:spacing w:before="0" w:beforeAutospacing="0" w:after="0" w:afterAutospacing="0"/>
      </w:pPr>
    </w:p>
    <w:p w14:paraId="64B2051D" w14:textId="77777777" w:rsidR="00B41554" w:rsidRDefault="00B41554" w:rsidP="00B41554">
      <w:pPr>
        <w:pStyle w:val="NormalWeb"/>
        <w:spacing w:before="0" w:beforeAutospacing="0" w:after="0" w:afterAutospacing="0"/>
      </w:pPr>
      <w:r>
        <w:t xml:space="preserve">OGS TV, INC., </w:t>
      </w:r>
      <w:r>
        <w:tab/>
      </w:r>
      <w:r>
        <w:tab/>
      </w:r>
      <w:r>
        <w:tab/>
      </w:r>
      <w:r>
        <w:tab/>
      </w:r>
      <w:r>
        <w:tab/>
      </w:r>
      <w:r>
        <w:tab/>
      </w:r>
    </w:p>
    <w:p w14:paraId="1C7B259E" w14:textId="77777777" w:rsidR="00B41554" w:rsidRDefault="00B41554" w:rsidP="00B41554">
      <w:pPr>
        <w:pStyle w:val="NormalWeb"/>
        <w:spacing w:before="0" w:beforeAutospacing="0" w:after="0" w:afterAutospacing="0"/>
      </w:pPr>
      <w:r>
        <w:tab/>
      </w:r>
      <w:r>
        <w:tab/>
      </w:r>
      <w:r>
        <w:tab/>
      </w:r>
      <w:r>
        <w:tab/>
        <w:t xml:space="preserve"> Plaintiff,</w:t>
      </w:r>
      <w:r>
        <w:tab/>
      </w:r>
      <w:r>
        <w:tab/>
      </w:r>
      <w:r>
        <w:tab/>
      </w:r>
      <w:r>
        <w:tab/>
      </w:r>
      <w:r>
        <w:rPr>
          <w:b/>
        </w:rPr>
        <w:t>Case No. 27-CV-12-1234</w:t>
      </w:r>
    </w:p>
    <w:p w14:paraId="3B5EF072" w14:textId="77777777" w:rsidR="00B41554" w:rsidRDefault="00B41554" w:rsidP="00B41554">
      <w:pPr>
        <w:pStyle w:val="NormalWeb"/>
        <w:spacing w:before="0" w:beforeAutospacing="0" w:after="0" w:afterAutospacing="0"/>
      </w:pPr>
    </w:p>
    <w:p w14:paraId="443B1B48" w14:textId="77777777" w:rsidR="00B41554" w:rsidRDefault="00B41554" w:rsidP="00B41554">
      <w:pPr>
        <w:pStyle w:val="NormalWeb"/>
        <w:spacing w:before="0" w:beforeAutospacing="0" w:after="0" w:afterAutospacing="0"/>
      </w:pPr>
      <w:r>
        <w:t xml:space="preserve">v. </w:t>
      </w:r>
    </w:p>
    <w:p w14:paraId="2A927924" w14:textId="77777777" w:rsidR="00B41554" w:rsidRDefault="00B41554" w:rsidP="00B41554">
      <w:pPr>
        <w:pStyle w:val="NormalWeb"/>
        <w:spacing w:before="0" w:beforeAutospacing="0" w:after="0" w:afterAutospacing="0"/>
      </w:pPr>
    </w:p>
    <w:p w14:paraId="503E27B4" w14:textId="77777777" w:rsidR="00B41554" w:rsidRDefault="00B41554" w:rsidP="00B41554">
      <w:pPr>
        <w:pStyle w:val="NormalWeb"/>
        <w:spacing w:before="0" w:beforeAutospacing="0" w:after="0" w:afterAutospacing="0"/>
      </w:pPr>
      <w:r>
        <w:t>ELIZABETH LIME, and TINYTV, INC.,</w:t>
      </w:r>
    </w:p>
    <w:p w14:paraId="7B86051F" w14:textId="77777777" w:rsidR="00B41554" w:rsidRDefault="00B41554" w:rsidP="00B41554">
      <w:pPr>
        <w:pStyle w:val="NormalWeb"/>
        <w:spacing w:before="0" w:beforeAutospacing="0" w:after="0" w:afterAutospacing="0"/>
      </w:pPr>
      <w:r>
        <w:tab/>
      </w:r>
      <w:r>
        <w:tab/>
      </w:r>
      <w:r>
        <w:tab/>
      </w:r>
      <w:r>
        <w:tab/>
        <w:t>Defendants,</w:t>
      </w:r>
      <w:r>
        <w:tab/>
      </w:r>
      <w:r>
        <w:tab/>
      </w:r>
      <w:r>
        <w:tab/>
      </w:r>
      <w:r>
        <w:tab/>
      </w:r>
      <w:r>
        <w:tab/>
      </w:r>
      <w:r>
        <w:tab/>
      </w:r>
    </w:p>
    <w:p w14:paraId="5F7F6335" w14:textId="77777777" w:rsidR="00B41554" w:rsidRDefault="00B41554" w:rsidP="00B41554">
      <w:pPr>
        <w:pStyle w:val="NormalWeb"/>
        <w:spacing w:before="0" w:beforeAutospacing="0" w:after="0" w:afterAutospacing="0"/>
        <w:ind w:left="6480"/>
        <w:rPr>
          <w:b/>
        </w:rPr>
      </w:pPr>
      <w:r>
        <w:rPr>
          <w:b/>
        </w:rPr>
        <w:t xml:space="preserve">DEFENDANTS’ PROPOSED FINDINGS OF FACT AND CONCLUSIONS OF LAW </w:t>
      </w:r>
    </w:p>
    <w:p w14:paraId="350DC64A" w14:textId="77777777" w:rsidR="00B41554" w:rsidRDefault="00B41554" w:rsidP="00B41554">
      <w:pPr>
        <w:pStyle w:val="NormalWeb"/>
        <w:spacing w:before="0" w:beforeAutospacing="0" w:after="0" w:afterAutospacing="0"/>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6C7CDD25" w14:textId="77777777" w:rsidR="00B41554" w:rsidRDefault="00B41554" w:rsidP="00B41554"/>
    <w:p w14:paraId="0D3CD399" w14:textId="77777777" w:rsidR="00B41554" w:rsidRDefault="00B41554" w:rsidP="00F840A8">
      <w:pPr>
        <w:spacing w:line="480" w:lineRule="auto"/>
      </w:pPr>
      <w:r>
        <w:tab/>
        <w:t xml:space="preserve">On March 27, 2012, this Court held a hearing related to Defendant’s Motion for Judgment on the Pleadings pursuant to Federal Rule of Civil Procedure 12(c) before the Honorable Beatrice Fair at the United States District Courthouse, Capital City, </w:t>
      </w:r>
      <w:proofErr w:type="gramStart"/>
      <w:r>
        <w:t>Moot</w:t>
      </w:r>
      <w:proofErr w:type="gramEnd"/>
      <w:r>
        <w:t xml:space="preserve">.  </w:t>
      </w:r>
      <w:r w:rsidR="00D20716">
        <w:t>&lt;</w:t>
      </w:r>
      <w:proofErr w:type="gramStart"/>
      <w:r w:rsidR="00D20716">
        <w:t>redacted</w:t>
      </w:r>
      <w:proofErr w:type="gramEnd"/>
      <w:r w:rsidR="00D20716">
        <w:t>&gt;&lt;/redacted&gt;</w:t>
      </w:r>
      <w:r>
        <w:t xml:space="preserve"> appeared on behalf of the Plaintiff.  </w:t>
      </w:r>
      <w:r w:rsidR="00D20716">
        <w:t>&lt;</w:t>
      </w:r>
      <w:proofErr w:type="gramStart"/>
      <w:r w:rsidR="00D20716">
        <w:t>redacted</w:t>
      </w:r>
      <w:proofErr w:type="gramEnd"/>
      <w:r w:rsidR="00D20716">
        <w:t>&gt;&lt;/redacted&gt;</w:t>
      </w:r>
      <w:r w:rsidR="00D20716">
        <w:t xml:space="preserve"> </w:t>
      </w:r>
      <w:r>
        <w:t>appeared on behalf of the Defendants.</w:t>
      </w:r>
    </w:p>
    <w:p w14:paraId="718E517F" w14:textId="77777777" w:rsidR="00B41554" w:rsidRDefault="00B41554" w:rsidP="00F840A8">
      <w:pPr>
        <w:spacing w:line="480" w:lineRule="auto"/>
      </w:pPr>
      <w:r>
        <w:tab/>
        <w:t>Based upon the arguments as well as the underlying memoranda and file, this Court herby rules as follows:</w:t>
      </w:r>
    </w:p>
    <w:p w14:paraId="7BD968D3" w14:textId="77777777" w:rsidR="00B41554" w:rsidRDefault="00B41554" w:rsidP="00B41554">
      <w:pPr>
        <w:spacing w:line="480" w:lineRule="auto"/>
        <w:ind w:left="360" w:firstLine="360"/>
      </w:pPr>
      <w:r>
        <w:t>LET JUDGMENT BE ENTERED ACCORDINGLY IN FAVOR OF T</w:t>
      </w:r>
      <w:r w:rsidR="00F840A8">
        <w:t xml:space="preserve">HE </w:t>
      </w:r>
      <w:r>
        <w:t>DEFENDANT.  </w:t>
      </w:r>
    </w:p>
    <w:p w14:paraId="5E9751E0" w14:textId="77777777" w:rsidR="00B41554" w:rsidRDefault="00B41554" w:rsidP="00B41554">
      <w:pPr>
        <w:pStyle w:val="Normal1"/>
      </w:pPr>
      <w:r>
        <w:t> </w:t>
      </w:r>
    </w:p>
    <w:p w14:paraId="6E2CD584" w14:textId="77777777" w:rsidR="00B41554" w:rsidRDefault="00B41554" w:rsidP="00B41554">
      <w:pPr>
        <w:pStyle w:val="NormalWeb"/>
      </w:pPr>
      <w:bookmarkStart w:id="2" w:name="table02"/>
      <w:bookmarkEnd w:id="2"/>
      <w:r>
        <w:t>Dated: March 22, 2012</w:t>
      </w:r>
      <w:r>
        <w:tab/>
      </w:r>
    </w:p>
    <w:p w14:paraId="49080C4F" w14:textId="77777777" w:rsidR="00B41554" w:rsidRDefault="00B41554" w:rsidP="00B41554">
      <w:pPr>
        <w:tabs>
          <w:tab w:val="right" w:pos="4320"/>
        </w:tabs>
        <w:rPr>
          <w:u w:val="single"/>
        </w:rPr>
      </w:pPr>
      <w:r>
        <w:tab/>
      </w:r>
      <w:r>
        <w:tab/>
      </w:r>
      <w:r>
        <w:tab/>
      </w:r>
      <w:r>
        <w:tab/>
      </w:r>
      <w:r>
        <w:tab/>
      </w:r>
      <w:r>
        <w:tab/>
      </w:r>
      <w:r>
        <w:tab/>
      </w:r>
      <w:r>
        <w:tab/>
      </w:r>
      <w:r>
        <w:tab/>
      </w:r>
      <w:r>
        <w:tab/>
      </w:r>
      <w:r>
        <w:tab/>
      </w:r>
      <w:r>
        <w:rPr>
          <w:u w:val="single"/>
        </w:rPr>
        <w:tab/>
      </w:r>
      <w:r>
        <w:rPr>
          <w:u w:val="single"/>
        </w:rPr>
        <w:tab/>
      </w:r>
      <w:r>
        <w:rPr>
          <w:u w:val="single"/>
        </w:rPr>
        <w:tab/>
      </w:r>
      <w:r>
        <w:rPr>
          <w:u w:val="single"/>
        </w:rPr>
        <w:tab/>
      </w:r>
      <w:r>
        <w:rPr>
          <w:u w:val="single"/>
        </w:rPr>
        <w:tab/>
      </w:r>
    </w:p>
    <w:p w14:paraId="54CD0724" w14:textId="77777777" w:rsidR="00B41554" w:rsidRDefault="00B41554" w:rsidP="00B41554">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United States District Judge</w:t>
      </w:r>
    </w:p>
    <w:p w14:paraId="5897E51D" w14:textId="77777777" w:rsidR="00B41554" w:rsidRDefault="00B41554" w:rsidP="00B41554">
      <w:pPr>
        <w:spacing w:line="480" w:lineRule="auto"/>
      </w:pPr>
    </w:p>
    <w:bookmarkEnd w:id="0"/>
    <w:p w14:paraId="563D7F19" w14:textId="77777777" w:rsidR="00B41554" w:rsidRDefault="00B41554" w:rsidP="00F840A8">
      <w:pPr>
        <w:pStyle w:val="NormalWeb"/>
        <w:spacing w:before="0" w:beforeAutospacing="0" w:after="0" w:afterAutospacing="0"/>
        <w:rPr>
          <w:b/>
        </w:rPr>
      </w:pPr>
    </w:p>
    <w:p w14:paraId="1041BBB3" w14:textId="77777777" w:rsidR="00F840A8" w:rsidRDefault="00F840A8" w:rsidP="00F840A8">
      <w:pPr>
        <w:pStyle w:val="NormalWeb"/>
        <w:spacing w:before="0" w:beforeAutospacing="0" w:after="0" w:afterAutospacing="0"/>
        <w:rPr>
          <w:b/>
        </w:rPr>
      </w:pPr>
    </w:p>
    <w:p w14:paraId="44CA7ECB" w14:textId="77777777" w:rsidR="007B64DA" w:rsidRPr="00277397" w:rsidRDefault="007B64DA" w:rsidP="007B64DA">
      <w:pPr>
        <w:pStyle w:val="NormalWeb"/>
        <w:spacing w:before="0" w:beforeAutospacing="0" w:after="0" w:afterAutospacing="0"/>
        <w:jc w:val="center"/>
        <w:rPr>
          <w:b/>
        </w:rPr>
      </w:pPr>
      <w:r w:rsidRPr="00277397">
        <w:rPr>
          <w:b/>
        </w:rPr>
        <w:t xml:space="preserve">UNITED STATES DISTRICT COURT </w:t>
      </w:r>
    </w:p>
    <w:p w14:paraId="276F1780" w14:textId="77777777" w:rsidR="007B64DA" w:rsidRPr="00277397" w:rsidRDefault="007B64DA" w:rsidP="007B64DA">
      <w:pPr>
        <w:pStyle w:val="NormalWeb"/>
        <w:spacing w:before="0" w:beforeAutospacing="0" w:after="0" w:afterAutospacing="0"/>
        <w:jc w:val="center"/>
        <w:rPr>
          <w:b/>
        </w:rPr>
      </w:pPr>
      <w:r w:rsidRPr="00277397">
        <w:rPr>
          <w:b/>
        </w:rPr>
        <w:t>FOR THE DISTRICT OF MOOT</w:t>
      </w:r>
    </w:p>
    <w:p w14:paraId="6BE55699" w14:textId="77777777" w:rsidR="007B64DA" w:rsidRPr="00277397" w:rsidRDefault="007B64DA" w:rsidP="007B64DA">
      <w:pPr>
        <w:pStyle w:val="NormalWeb"/>
        <w:spacing w:before="0" w:beforeAutospacing="0" w:after="0" w:afterAutospacing="0"/>
        <w:jc w:val="center"/>
        <w:rPr>
          <w:b/>
        </w:rPr>
      </w:pPr>
    </w:p>
    <w:p w14:paraId="58382843" w14:textId="77777777" w:rsidR="007B64DA" w:rsidRPr="00277397" w:rsidRDefault="007B64DA" w:rsidP="007B64DA">
      <w:pPr>
        <w:pStyle w:val="NormalWeb"/>
        <w:spacing w:before="0" w:beforeAutospacing="0" w:after="0" w:afterAutospacing="0"/>
        <w:rPr>
          <w:u w:val="single"/>
        </w:rPr>
      </w:pPr>
      <w:r w:rsidRPr="00277397">
        <w:rPr>
          <w:u w:val="single"/>
        </w:rPr>
        <w:tab/>
      </w:r>
      <w:r w:rsidRPr="00277397">
        <w:rPr>
          <w:u w:val="single"/>
        </w:rPr>
        <w:tab/>
      </w:r>
      <w:r w:rsidRPr="00277397">
        <w:rPr>
          <w:u w:val="single"/>
        </w:rPr>
        <w:tab/>
      </w:r>
      <w:r w:rsidRPr="00277397">
        <w:rPr>
          <w:u w:val="single"/>
        </w:rPr>
        <w:tab/>
      </w:r>
      <w:r w:rsidRPr="00277397">
        <w:rPr>
          <w:u w:val="single"/>
        </w:rPr>
        <w:tab/>
      </w:r>
      <w:r w:rsidRPr="00277397">
        <w:rPr>
          <w:u w:val="single"/>
        </w:rPr>
        <w:tab/>
      </w:r>
      <w:r w:rsidRPr="00277397">
        <w:rPr>
          <w:u w:val="single"/>
        </w:rPr>
        <w:tab/>
      </w:r>
      <w:r w:rsidRPr="00277397">
        <w:rPr>
          <w:u w:val="single"/>
        </w:rPr>
        <w:tab/>
      </w:r>
      <w:r w:rsidRPr="00277397">
        <w:rPr>
          <w:u w:val="single"/>
        </w:rPr>
        <w:tab/>
      </w:r>
      <w:r w:rsidRPr="00277397">
        <w:rPr>
          <w:u w:val="single"/>
        </w:rPr>
        <w:tab/>
      </w:r>
      <w:r w:rsidRPr="00277397">
        <w:rPr>
          <w:u w:val="single"/>
        </w:rPr>
        <w:tab/>
      </w:r>
      <w:r w:rsidRPr="00277397">
        <w:rPr>
          <w:u w:val="single"/>
        </w:rPr>
        <w:tab/>
      </w:r>
      <w:r w:rsidRPr="00277397">
        <w:rPr>
          <w:u w:val="single"/>
        </w:rPr>
        <w:tab/>
      </w:r>
    </w:p>
    <w:p w14:paraId="7D6D75C4" w14:textId="77777777" w:rsidR="007B64DA" w:rsidRPr="00277397" w:rsidRDefault="007B64DA" w:rsidP="007B64DA">
      <w:pPr>
        <w:pStyle w:val="NormalWeb"/>
        <w:spacing w:before="0" w:beforeAutospacing="0" w:after="0" w:afterAutospacing="0"/>
      </w:pPr>
    </w:p>
    <w:p w14:paraId="6B4BE1D4" w14:textId="77777777" w:rsidR="007B64DA" w:rsidRPr="00277397" w:rsidRDefault="007B64DA" w:rsidP="007B64DA">
      <w:pPr>
        <w:pStyle w:val="NormalWeb"/>
        <w:spacing w:before="0" w:beforeAutospacing="0" w:after="0" w:afterAutospacing="0"/>
      </w:pPr>
      <w:r w:rsidRPr="00277397">
        <w:t xml:space="preserve">OGS TV, INC., </w:t>
      </w:r>
      <w:r w:rsidRPr="00277397">
        <w:tab/>
      </w:r>
      <w:r w:rsidRPr="00277397">
        <w:tab/>
      </w:r>
      <w:r w:rsidRPr="00277397">
        <w:tab/>
      </w:r>
      <w:r w:rsidRPr="00277397">
        <w:tab/>
      </w:r>
      <w:r w:rsidRPr="00277397">
        <w:tab/>
      </w:r>
      <w:r w:rsidRPr="00277397">
        <w:tab/>
      </w:r>
    </w:p>
    <w:p w14:paraId="59236525" w14:textId="77777777" w:rsidR="007B64DA" w:rsidRPr="00277397" w:rsidRDefault="0053315A" w:rsidP="007B64DA">
      <w:pPr>
        <w:pStyle w:val="NormalWeb"/>
        <w:spacing w:before="0" w:beforeAutospacing="0" w:after="0" w:afterAutospacing="0"/>
      </w:pPr>
      <w:r w:rsidRPr="00277397">
        <w:tab/>
      </w:r>
      <w:r w:rsidRPr="00277397">
        <w:tab/>
      </w:r>
      <w:r w:rsidRPr="00277397">
        <w:tab/>
      </w:r>
      <w:r w:rsidRPr="00277397">
        <w:tab/>
        <w:t>Plaintiff,</w:t>
      </w:r>
      <w:r w:rsidR="007B64DA" w:rsidRPr="00277397">
        <w:tab/>
      </w:r>
      <w:r w:rsidR="007B64DA" w:rsidRPr="00277397">
        <w:tab/>
      </w:r>
      <w:r w:rsidR="007B64DA" w:rsidRPr="00277397">
        <w:tab/>
      </w:r>
      <w:r w:rsidR="007B64DA" w:rsidRPr="00277397">
        <w:tab/>
      </w:r>
      <w:r w:rsidR="007B64DA" w:rsidRPr="00277397">
        <w:rPr>
          <w:b/>
        </w:rPr>
        <w:t>Case No. 27-CV-12-1234</w:t>
      </w:r>
    </w:p>
    <w:p w14:paraId="3DEC2245" w14:textId="77777777" w:rsidR="007B64DA" w:rsidRPr="00277397" w:rsidRDefault="0053315A" w:rsidP="007B64DA">
      <w:pPr>
        <w:pStyle w:val="NormalWeb"/>
        <w:spacing w:before="0" w:beforeAutospacing="0" w:after="0" w:afterAutospacing="0"/>
      </w:pPr>
      <w:r w:rsidRPr="00277397">
        <w:tab/>
      </w:r>
      <w:r w:rsidRPr="00277397">
        <w:tab/>
      </w:r>
      <w:r w:rsidRPr="00277397">
        <w:tab/>
      </w:r>
      <w:r w:rsidRPr="00277397">
        <w:tab/>
      </w:r>
      <w:r w:rsidRPr="00277397">
        <w:tab/>
      </w:r>
      <w:r w:rsidRPr="00277397">
        <w:tab/>
      </w:r>
      <w:r w:rsidRPr="00277397">
        <w:tab/>
      </w:r>
      <w:r w:rsidRPr="00277397">
        <w:tab/>
      </w:r>
      <w:r w:rsidRPr="00277397">
        <w:tab/>
        <w:t>The Honorable Beatrice Fair</w:t>
      </w:r>
    </w:p>
    <w:p w14:paraId="26EB8523" w14:textId="77777777" w:rsidR="007B64DA" w:rsidRPr="00277397" w:rsidRDefault="007B64DA" w:rsidP="007B64DA">
      <w:pPr>
        <w:pStyle w:val="NormalWeb"/>
        <w:spacing w:before="0" w:beforeAutospacing="0" w:after="0" w:afterAutospacing="0"/>
      </w:pPr>
      <w:r w:rsidRPr="00277397">
        <w:t xml:space="preserve">v. </w:t>
      </w:r>
    </w:p>
    <w:p w14:paraId="345F61EA" w14:textId="77777777" w:rsidR="007B64DA" w:rsidRPr="00277397" w:rsidRDefault="007B64DA" w:rsidP="007B64DA">
      <w:pPr>
        <w:pStyle w:val="NormalWeb"/>
        <w:spacing w:before="0" w:beforeAutospacing="0" w:after="0" w:afterAutospacing="0"/>
      </w:pPr>
    </w:p>
    <w:p w14:paraId="4A3C0B73" w14:textId="77777777" w:rsidR="007B64DA" w:rsidRPr="00277397" w:rsidRDefault="007B64DA" w:rsidP="007B64DA">
      <w:pPr>
        <w:pStyle w:val="NormalWeb"/>
        <w:spacing w:before="0" w:beforeAutospacing="0" w:after="0" w:afterAutospacing="0"/>
      </w:pPr>
      <w:r w:rsidRPr="00277397">
        <w:t>ELIZABETH LIME, and TINYTV</w:t>
      </w:r>
      <w:r w:rsidR="0053315A" w:rsidRPr="00277397">
        <w:t>, INC.</w:t>
      </w:r>
      <w:r w:rsidRPr="00277397">
        <w:t>,</w:t>
      </w:r>
    </w:p>
    <w:p w14:paraId="7C901284" w14:textId="77777777" w:rsidR="007B64DA" w:rsidRPr="00277397" w:rsidRDefault="007B64DA" w:rsidP="007B64DA">
      <w:pPr>
        <w:pStyle w:val="NormalWeb"/>
        <w:spacing w:before="0" w:beforeAutospacing="0" w:after="0" w:afterAutospacing="0"/>
      </w:pPr>
      <w:r w:rsidRPr="00277397">
        <w:tab/>
      </w:r>
      <w:r w:rsidRPr="00277397">
        <w:tab/>
      </w:r>
      <w:r w:rsidRPr="00277397">
        <w:tab/>
      </w:r>
      <w:r w:rsidRPr="00277397">
        <w:tab/>
        <w:t>Defendants</w:t>
      </w:r>
      <w:r w:rsidR="0053315A" w:rsidRPr="00277397">
        <w:t>,</w:t>
      </w:r>
      <w:r w:rsidRPr="00277397">
        <w:tab/>
      </w:r>
      <w:r w:rsidRPr="00277397">
        <w:tab/>
      </w:r>
      <w:r w:rsidRPr="00277397">
        <w:tab/>
      </w:r>
      <w:r w:rsidRPr="00277397">
        <w:tab/>
      </w:r>
      <w:r w:rsidRPr="00277397">
        <w:tab/>
      </w:r>
      <w:r w:rsidRPr="00277397">
        <w:tab/>
      </w:r>
    </w:p>
    <w:p w14:paraId="3E2346B1" w14:textId="77777777" w:rsidR="00033D3F" w:rsidRPr="00277397" w:rsidRDefault="00DE0090" w:rsidP="00DE0090">
      <w:pPr>
        <w:pStyle w:val="NormalWeb"/>
        <w:spacing w:before="0" w:beforeAutospacing="0" w:after="0" w:afterAutospacing="0"/>
        <w:rPr>
          <w:u w:val="single"/>
        </w:rPr>
      </w:pPr>
      <w:r w:rsidRPr="00277397">
        <w:rPr>
          <w:u w:val="single"/>
        </w:rPr>
        <w:tab/>
      </w:r>
      <w:r w:rsidRPr="00277397">
        <w:rPr>
          <w:u w:val="single"/>
        </w:rPr>
        <w:tab/>
      </w:r>
      <w:r w:rsidRPr="00277397">
        <w:rPr>
          <w:u w:val="single"/>
        </w:rPr>
        <w:tab/>
      </w:r>
      <w:r w:rsidRPr="00277397">
        <w:rPr>
          <w:u w:val="single"/>
        </w:rPr>
        <w:tab/>
      </w:r>
      <w:r w:rsidRPr="00277397">
        <w:rPr>
          <w:u w:val="single"/>
        </w:rPr>
        <w:tab/>
      </w:r>
      <w:r w:rsidRPr="00277397">
        <w:rPr>
          <w:u w:val="single"/>
        </w:rPr>
        <w:tab/>
      </w:r>
      <w:r w:rsidRPr="00277397">
        <w:rPr>
          <w:u w:val="single"/>
        </w:rPr>
        <w:tab/>
      </w:r>
      <w:r w:rsidRPr="00277397">
        <w:rPr>
          <w:u w:val="single"/>
        </w:rPr>
        <w:tab/>
      </w:r>
      <w:r w:rsidRPr="00277397">
        <w:rPr>
          <w:u w:val="single"/>
        </w:rPr>
        <w:tab/>
      </w:r>
      <w:r w:rsidRPr="00277397">
        <w:rPr>
          <w:u w:val="single"/>
        </w:rPr>
        <w:tab/>
      </w:r>
      <w:r w:rsidRPr="00277397">
        <w:rPr>
          <w:u w:val="single"/>
        </w:rPr>
        <w:tab/>
      </w:r>
      <w:r w:rsidRPr="00277397">
        <w:rPr>
          <w:u w:val="single"/>
        </w:rPr>
        <w:tab/>
      </w:r>
      <w:r w:rsidRPr="00277397">
        <w:rPr>
          <w:u w:val="single"/>
        </w:rPr>
        <w:tab/>
      </w:r>
    </w:p>
    <w:p w14:paraId="6A5BCE23" w14:textId="77777777" w:rsidR="00BE25A5" w:rsidRPr="00277397" w:rsidRDefault="00BE25A5" w:rsidP="000B2397">
      <w:pPr>
        <w:pStyle w:val="NoSpacing"/>
        <w:jc w:val="center"/>
        <w:rPr>
          <w:rFonts w:ascii="Times New Roman" w:hAnsi="Times New Roman" w:cs="Times New Roman"/>
          <w:sz w:val="24"/>
          <w:szCs w:val="24"/>
        </w:rPr>
      </w:pPr>
    </w:p>
    <w:p w14:paraId="5F000CC0" w14:textId="77777777" w:rsidR="007B64DA" w:rsidRPr="00277397" w:rsidRDefault="0053315A" w:rsidP="000B2397">
      <w:pPr>
        <w:pStyle w:val="NoSpacing"/>
        <w:jc w:val="center"/>
        <w:rPr>
          <w:rFonts w:ascii="Times New Roman" w:hAnsi="Times New Roman" w:cs="Times New Roman"/>
          <w:b/>
          <w:sz w:val="24"/>
          <w:szCs w:val="24"/>
        </w:rPr>
      </w:pPr>
      <w:r w:rsidRPr="00277397">
        <w:rPr>
          <w:rFonts w:ascii="Times New Roman" w:hAnsi="Times New Roman" w:cs="Times New Roman"/>
          <w:b/>
          <w:sz w:val="24"/>
          <w:szCs w:val="24"/>
        </w:rPr>
        <w:t xml:space="preserve">DEFENDANTS’ </w:t>
      </w:r>
      <w:r w:rsidR="007B64DA" w:rsidRPr="00277397">
        <w:rPr>
          <w:rFonts w:ascii="Times New Roman" w:hAnsi="Times New Roman" w:cs="Times New Roman"/>
          <w:b/>
          <w:sz w:val="24"/>
          <w:szCs w:val="24"/>
        </w:rPr>
        <w:t xml:space="preserve">MEMORANDUM IN SUPPORT OF </w:t>
      </w:r>
    </w:p>
    <w:p w14:paraId="1FF5FB24" w14:textId="77777777" w:rsidR="007B64DA" w:rsidRPr="00277397" w:rsidRDefault="007B64DA" w:rsidP="000B2397">
      <w:pPr>
        <w:pStyle w:val="NoSpacing"/>
        <w:jc w:val="center"/>
        <w:rPr>
          <w:rFonts w:ascii="Times New Roman" w:hAnsi="Times New Roman" w:cs="Times New Roman"/>
          <w:b/>
          <w:sz w:val="24"/>
          <w:szCs w:val="24"/>
        </w:rPr>
      </w:pPr>
      <w:r w:rsidRPr="00277397">
        <w:rPr>
          <w:rFonts w:ascii="Times New Roman" w:hAnsi="Times New Roman" w:cs="Times New Roman"/>
          <w:b/>
          <w:sz w:val="24"/>
          <w:szCs w:val="24"/>
        </w:rPr>
        <w:t>MOTION FOR JUDGMENT ON THE PLEADINGS</w:t>
      </w:r>
    </w:p>
    <w:p w14:paraId="3AB0624E" w14:textId="77777777" w:rsidR="007B64DA" w:rsidRPr="00277397" w:rsidRDefault="007B64DA" w:rsidP="000B2397">
      <w:pPr>
        <w:pStyle w:val="NoSpacing"/>
        <w:jc w:val="center"/>
        <w:rPr>
          <w:rFonts w:ascii="Times New Roman" w:hAnsi="Times New Roman" w:cs="Times New Roman"/>
          <w:sz w:val="24"/>
          <w:szCs w:val="24"/>
          <w:u w:val="single"/>
        </w:rPr>
      </w:pPr>
    </w:p>
    <w:p w14:paraId="1BB81617" w14:textId="77777777" w:rsidR="007B64DA" w:rsidRPr="00277397" w:rsidRDefault="000B2397" w:rsidP="0053315A">
      <w:pPr>
        <w:pStyle w:val="NoSpacing"/>
        <w:spacing w:line="480" w:lineRule="auto"/>
        <w:jc w:val="center"/>
        <w:rPr>
          <w:rFonts w:ascii="Times New Roman" w:hAnsi="Times New Roman" w:cs="Times New Roman"/>
          <w:sz w:val="24"/>
          <w:szCs w:val="24"/>
          <w:u w:val="single"/>
        </w:rPr>
      </w:pPr>
      <w:r w:rsidRPr="00277397">
        <w:rPr>
          <w:rFonts w:ascii="Times New Roman" w:hAnsi="Times New Roman" w:cs="Times New Roman"/>
          <w:sz w:val="24"/>
          <w:szCs w:val="24"/>
          <w:u w:val="single"/>
        </w:rPr>
        <w:t>INTRODUCTION</w:t>
      </w:r>
    </w:p>
    <w:p w14:paraId="00343C56" w14:textId="77777777" w:rsidR="00071828" w:rsidRPr="00277397" w:rsidRDefault="00603DEB" w:rsidP="0053315A">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 xml:space="preserve">Plaintiff OGS TV, Inc. </w:t>
      </w:r>
      <w:r w:rsidR="0053315A" w:rsidRPr="00277397">
        <w:rPr>
          <w:rFonts w:ascii="Times New Roman" w:hAnsi="Times New Roman" w:cs="Times New Roman"/>
          <w:sz w:val="24"/>
          <w:szCs w:val="24"/>
        </w:rPr>
        <w:t xml:space="preserve">(OGS) alleges that Defendants Elizabeth Lime (Lime) and TinyTV, Inc. (TinyTV) </w:t>
      </w:r>
      <w:r w:rsidR="00702337" w:rsidRPr="00277397">
        <w:rPr>
          <w:rFonts w:ascii="Times New Roman" w:hAnsi="Times New Roman" w:cs="Times New Roman"/>
          <w:sz w:val="24"/>
          <w:szCs w:val="24"/>
        </w:rPr>
        <w:t>violated OGS’ copyright when it aired “The Love Below.”</w:t>
      </w:r>
      <w:r w:rsidRPr="00277397">
        <w:rPr>
          <w:rFonts w:ascii="Times New Roman" w:hAnsi="Times New Roman" w:cs="Times New Roman"/>
          <w:sz w:val="24"/>
          <w:szCs w:val="24"/>
        </w:rPr>
        <w:t xml:space="preserve">  </w:t>
      </w:r>
      <w:r w:rsidR="00702337" w:rsidRPr="00277397">
        <w:rPr>
          <w:rFonts w:ascii="Times New Roman" w:hAnsi="Times New Roman" w:cs="Times New Roman"/>
          <w:sz w:val="24"/>
          <w:szCs w:val="24"/>
        </w:rPr>
        <w:t>The allegations are made pursuant to t</w:t>
      </w:r>
      <w:r w:rsidR="007B64DA" w:rsidRPr="00277397">
        <w:rPr>
          <w:rFonts w:ascii="Times New Roman" w:hAnsi="Times New Roman" w:cs="Times New Roman"/>
          <w:sz w:val="24"/>
          <w:szCs w:val="24"/>
        </w:rPr>
        <w:t xml:space="preserve">he Copyright Act, </w:t>
      </w:r>
      <w:bookmarkStart w:id="3" w:name="CITRUS_BOOKMARK1000000039"/>
      <w:r w:rsidR="00F70096" w:rsidRPr="00AE53F2">
        <w:rPr>
          <w:rFonts w:ascii="Times New Roman" w:hAnsi="Times New Roman" w:cs="Times New Roman"/>
          <w:sz w:val="24"/>
          <w:szCs w:val="24"/>
        </w:rPr>
        <w:t>17 U.S.C. §</w:t>
      </w:r>
      <w:r w:rsidR="004E3038" w:rsidRPr="00AE53F2">
        <w:rPr>
          <w:rFonts w:ascii="Times New Roman" w:hAnsi="Times New Roman" w:cs="Times New Roman"/>
          <w:sz w:val="24"/>
          <w:szCs w:val="24"/>
        </w:rPr>
        <w:t xml:space="preserve"> </w:t>
      </w:r>
      <w:r w:rsidR="00F70096" w:rsidRPr="00AE53F2">
        <w:rPr>
          <w:rFonts w:ascii="Times New Roman" w:hAnsi="Times New Roman" w:cs="Times New Roman"/>
          <w:sz w:val="24"/>
          <w:szCs w:val="24"/>
        </w:rPr>
        <w:t>101(2)</w:t>
      </w:r>
      <w:bookmarkEnd w:id="3"/>
      <w:r w:rsidR="007B64DA" w:rsidRPr="00277397">
        <w:rPr>
          <w:rFonts w:ascii="Times New Roman" w:hAnsi="Times New Roman" w:cs="Times New Roman"/>
          <w:sz w:val="24"/>
          <w:szCs w:val="24"/>
        </w:rPr>
        <w:t xml:space="preserve">, </w:t>
      </w:r>
      <w:r w:rsidR="00702337" w:rsidRPr="00277397">
        <w:rPr>
          <w:rFonts w:ascii="Times New Roman" w:hAnsi="Times New Roman" w:cs="Times New Roman"/>
          <w:sz w:val="24"/>
          <w:szCs w:val="24"/>
        </w:rPr>
        <w:t xml:space="preserve">which </w:t>
      </w:r>
      <w:r w:rsidR="007B64DA" w:rsidRPr="00277397">
        <w:rPr>
          <w:rFonts w:ascii="Times New Roman" w:hAnsi="Times New Roman" w:cs="Times New Roman"/>
          <w:sz w:val="24"/>
          <w:szCs w:val="24"/>
        </w:rPr>
        <w:t>requires both parties</w:t>
      </w:r>
      <w:r w:rsidR="0053315A" w:rsidRPr="00277397">
        <w:rPr>
          <w:rFonts w:ascii="Times New Roman" w:hAnsi="Times New Roman" w:cs="Times New Roman"/>
          <w:sz w:val="24"/>
          <w:szCs w:val="24"/>
        </w:rPr>
        <w:t xml:space="preserve"> to</w:t>
      </w:r>
      <w:r w:rsidR="007B64DA" w:rsidRPr="00277397">
        <w:rPr>
          <w:rFonts w:ascii="Times New Roman" w:hAnsi="Times New Roman" w:cs="Times New Roman"/>
          <w:sz w:val="24"/>
          <w:szCs w:val="24"/>
        </w:rPr>
        <w:t xml:space="preserve"> agree in writing</w:t>
      </w:r>
      <w:r w:rsidR="00F70096" w:rsidRPr="00277397">
        <w:rPr>
          <w:rFonts w:ascii="Times New Roman" w:hAnsi="Times New Roman" w:cs="Times New Roman"/>
          <w:sz w:val="24"/>
          <w:szCs w:val="24"/>
        </w:rPr>
        <w:t xml:space="preserve"> t</w:t>
      </w:r>
      <w:r w:rsidR="00702337" w:rsidRPr="00277397">
        <w:rPr>
          <w:rFonts w:ascii="Times New Roman" w:hAnsi="Times New Roman" w:cs="Times New Roman"/>
          <w:sz w:val="24"/>
          <w:szCs w:val="24"/>
        </w:rPr>
        <w:t>hat a work is to be considered “</w:t>
      </w:r>
      <w:r w:rsidRPr="00277397">
        <w:rPr>
          <w:rFonts w:ascii="Times New Roman" w:hAnsi="Times New Roman" w:cs="Times New Roman"/>
          <w:sz w:val="24"/>
          <w:szCs w:val="24"/>
        </w:rPr>
        <w:t>made for h</w:t>
      </w:r>
      <w:r w:rsidR="00F70096" w:rsidRPr="00277397">
        <w:rPr>
          <w:rFonts w:ascii="Times New Roman" w:hAnsi="Times New Roman" w:cs="Times New Roman"/>
          <w:sz w:val="24"/>
          <w:szCs w:val="24"/>
        </w:rPr>
        <w:t xml:space="preserve">ire” preceding the creation of the work.  </w:t>
      </w:r>
      <w:bookmarkStart w:id="4" w:name="CITRUS_BOOKMARK1000000057"/>
      <w:r w:rsidR="00C04327" w:rsidRPr="00285AE2">
        <w:rPr>
          <w:rFonts w:ascii="Times New Roman" w:hAnsi="Times New Roman" w:cs="Times New Roman"/>
          <w:sz w:val="24"/>
          <w:szCs w:val="24"/>
        </w:rPr>
        <w:t>17 U.S.C</w:t>
      </w:r>
      <w:r w:rsidR="00285AE2" w:rsidRPr="00285AE2">
        <w:rPr>
          <w:rFonts w:ascii="Times New Roman" w:hAnsi="Times New Roman" w:cs="Times New Roman"/>
          <w:sz w:val="24"/>
          <w:szCs w:val="24"/>
        </w:rPr>
        <w:t>.</w:t>
      </w:r>
      <w:r w:rsidR="00C04327" w:rsidRPr="00285AE2">
        <w:rPr>
          <w:rFonts w:ascii="Times New Roman" w:hAnsi="Times New Roman" w:cs="Times New Roman"/>
          <w:sz w:val="24"/>
          <w:szCs w:val="24"/>
        </w:rPr>
        <w:t xml:space="preserve"> § 101(2)</w:t>
      </w:r>
      <w:bookmarkEnd w:id="4"/>
      <w:r w:rsidR="00702337" w:rsidRPr="00277397">
        <w:rPr>
          <w:rFonts w:ascii="Times New Roman" w:hAnsi="Times New Roman" w:cs="Times New Roman"/>
          <w:sz w:val="24"/>
          <w:szCs w:val="24"/>
        </w:rPr>
        <w:t>.</w:t>
      </w:r>
      <w:r w:rsidRPr="00277397">
        <w:rPr>
          <w:rFonts w:ascii="Times New Roman" w:hAnsi="Times New Roman" w:cs="Times New Roman"/>
          <w:sz w:val="24"/>
          <w:szCs w:val="24"/>
        </w:rPr>
        <w:t xml:space="preserve">  </w:t>
      </w:r>
      <w:r w:rsidR="00F70096" w:rsidRPr="00277397">
        <w:rPr>
          <w:rFonts w:ascii="Times New Roman" w:hAnsi="Times New Roman" w:cs="Times New Roman"/>
          <w:sz w:val="24"/>
          <w:szCs w:val="24"/>
        </w:rPr>
        <w:t>Because Lime</w:t>
      </w:r>
      <w:r w:rsidR="00702337" w:rsidRPr="00277397">
        <w:rPr>
          <w:rFonts w:ascii="Times New Roman" w:hAnsi="Times New Roman" w:cs="Times New Roman"/>
          <w:sz w:val="24"/>
          <w:szCs w:val="24"/>
        </w:rPr>
        <w:t xml:space="preserve"> </w:t>
      </w:r>
      <w:r w:rsidR="00071828" w:rsidRPr="00277397">
        <w:rPr>
          <w:rFonts w:ascii="Times New Roman" w:hAnsi="Times New Roman" w:cs="Times New Roman"/>
          <w:sz w:val="24"/>
          <w:szCs w:val="24"/>
        </w:rPr>
        <w:t xml:space="preserve">created and submitted her </w:t>
      </w:r>
      <w:r w:rsidR="00F70096" w:rsidRPr="00277397">
        <w:rPr>
          <w:rFonts w:ascii="Times New Roman" w:hAnsi="Times New Roman" w:cs="Times New Roman"/>
          <w:sz w:val="24"/>
          <w:szCs w:val="24"/>
        </w:rPr>
        <w:t>screenplay, “Anticipator</w:t>
      </w:r>
      <w:r w:rsidR="007B64DA" w:rsidRPr="00277397">
        <w:rPr>
          <w:rFonts w:ascii="Times New Roman" w:hAnsi="Times New Roman" w:cs="Times New Roman"/>
          <w:sz w:val="24"/>
          <w:szCs w:val="24"/>
        </w:rPr>
        <w:t>y</w:t>
      </w:r>
      <w:r w:rsidR="00F70096" w:rsidRPr="00277397">
        <w:rPr>
          <w:rFonts w:ascii="Times New Roman" w:hAnsi="Times New Roman" w:cs="Times New Roman"/>
          <w:sz w:val="24"/>
          <w:szCs w:val="24"/>
        </w:rPr>
        <w:t xml:space="preserve"> Repudiation,” </w:t>
      </w:r>
      <w:r w:rsidR="00071828" w:rsidRPr="00277397">
        <w:rPr>
          <w:rFonts w:ascii="Times New Roman" w:hAnsi="Times New Roman" w:cs="Times New Roman"/>
          <w:sz w:val="24"/>
          <w:szCs w:val="24"/>
        </w:rPr>
        <w:t xml:space="preserve">to </w:t>
      </w:r>
      <w:r w:rsidR="007B64DA" w:rsidRPr="00277397">
        <w:rPr>
          <w:rFonts w:ascii="Times New Roman" w:hAnsi="Times New Roman" w:cs="Times New Roman"/>
          <w:sz w:val="24"/>
          <w:szCs w:val="24"/>
        </w:rPr>
        <w:t>OGS</w:t>
      </w:r>
      <w:r w:rsidR="00071828" w:rsidRPr="00277397">
        <w:rPr>
          <w:rFonts w:ascii="Times New Roman" w:hAnsi="Times New Roman" w:cs="Times New Roman"/>
          <w:sz w:val="24"/>
          <w:szCs w:val="24"/>
        </w:rPr>
        <w:t xml:space="preserve"> </w:t>
      </w:r>
      <w:r w:rsidR="00AE53F2">
        <w:rPr>
          <w:rFonts w:ascii="Times New Roman" w:hAnsi="Times New Roman" w:cs="Times New Roman"/>
          <w:sz w:val="24"/>
          <w:szCs w:val="24"/>
        </w:rPr>
        <w:t>before a</w:t>
      </w:r>
      <w:r w:rsidRPr="00277397">
        <w:rPr>
          <w:rFonts w:ascii="Times New Roman" w:hAnsi="Times New Roman" w:cs="Times New Roman"/>
          <w:sz w:val="24"/>
          <w:szCs w:val="24"/>
        </w:rPr>
        <w:t xml:space="preserve"> “</w:t>
      </w:r>
      <w:r w:rsidR="00AE53F2">
        <w:rPr>
          <w:rFonts w:ascii="Times New Roman" w:hAnsi="Times New Roman" w:cs="Times New Roman"/>
          <w:sz w:val="24"/>
          <w:szCs w:val="24"/>
        </w:rPr>
        <w:t>Made for Hire</w:t>
      </w:r>
      <w:r w:rsidRPr="00277397">
        <w:rPr>
          <w:rFonts w:ascii="Times New Roman" w:hAnsi="Times New Roman" w:cs="Times New Roman"/>
          <w:sz w:val="24"/>
          <w:szCs w:val="24"/>
        </w:rPr>
        <w:t xml:space="preserve">” </w:t>
      </w:r>
      <w:r w:rsidR="00AE53F2">
        <w:rPr>
          <w:rFonts w:ascii="Times New Roman" w:hAnsi="Times New Roman" w:cs="Times New Roman"/>
          <w:sz w:val="24"/>
          <w:szCs w:val="24"/>
        </w:rPr>
        <w:t xml:space="preserve">agreement </w:t>
      </w:r>
      <w:r w:rsidR="00071828" w:rsidRPr="00277397">
        <w:rPr>
          <w:rFonts w:ascii="Times New Roman" w:hAnsi="Times New Roman" w:cs="Times New Roman"/>
          <w:sz w:val="24"/>
          <w:szCs w:val="24"/>
        </w:rPr>
        <w:t>was signed, ownership of the screenp</w:t>
      </w:r>
      <w:r w:rsidR="007B64DA" w:rsidRPr="00277397">
        <w:rPr>
          <w:rFonts w:ascii="Times New Roman" w:hAnsi="Times New Roman" w:cs="Times New Roman"/>
          <w:sz w:val="24"/>
          <w:szCs w:val="24"/>
        </w:rPr>
        <w:t xml:space="preserve">lay did not transfer to OGS </w:t>
      </w:r>
      <w:r w:rsidR="00071828" w:rsidRPr="00277397">
        <w:rPr>
          <w:rFonts w:ascii="Times New Roman" w:hAnsi="Times New Roman" w:cs="Times New Roman"/>
          <w:sz w:val="24"/>
          <w:szCs w:val="24"/>
        </w:rPr>
        <w:t>and copyright infringement did not occur.</w:t>
      </w:r>
      <w:r w:rsidRPr="00277397">
        <w:rPr>
          <w:rFonts w:ascii="Times New Roman" w:hAnsi="Times New Roman" w:cs="Times New Roman"/>
          <w:sz w:val="24"/>
          <w:szCs w:val="24"/>
        </w:rPr>
        <w:t xml:space="preserve">  </w:t>
      </w:r>
      <w:r w:rsidR="00144B5A">
        <w:rPr>
          <w:rFonts w:ascii="Times New Roman" w:hAnsi="Times New Roman" w:cs="Times New Roman"/>
          <w:sz w:val="24"/>
          <w:szCs w:val="24"/>
        </w:rPr>
        <w:t>The C</w:t>
      </w:r>
      <w:r w:rsidR="0053315A" w:rsidRPr="00277397">
        <w:rPr>
          <w:rFonts w:ascii="Times New Roman" w:hAnsi="Times New Roman" w:cs="Times New Roman"/>
          <w:sz w:val="24"/>
          <w:szCs w:val="24"/>
        </w:rPr>
        <w:t>ourt</w:t>
      </w:r>
      <w:r w:rsidR="00702337" w:rsidRPr="00277397">
        <w:rPr>
          <w:rFonts w:ascii="Times New Roman" w:hAnsi="Times New Roman" w:cs="Times New Roman"/>
          <w:sz w:val="24"/>
          <w:szCs w:val="24"/>
        </w:rPr>
        <w:t xml:space="preserve"> should grant Defendants’ Motion for Judgment on the Pleadings.</w:t>
      </w:r>
    </w:p>
    <w:p w14:paraId="6EFB69C2" w14:textId="77777777" w:rsidR="000661D6" w:rsidRPr="00277397" w:rsidRDefault="0062422C" w:rsidP="000661D6">
      <w:pPr>
        <w:pStyle w:val="NoSpacing"/>
        <w:spacing w:line="480" w:lineRule="auto"/>
        <w:jc w:val="center"/>
        <w:rPr>
          <w:rFonts w:ascii="Times New Roman" w:hAnsi="Times New Roman" w:cs="Times New Roman"/>
          <w:sz w:val="24"/>
          <w:szCs w:val="24"/>
          <w:u w:val="single"/>
        </w:rPr>
      </w:pPr>
      <w:r w:rsidRPr="00277397">
        <w:rPr>
          <w:rFonts w:ascii="Times New Roman" w:hAnsi="Times New Roman" w:cs="Times New Roman"/>
          <w:sz w:val="24"/>
          <w:szCs w:val="24"/>
          <w:u w:val="single"/>
        </w:rPr>
        <w:t>FACTUAL BACKGROUND</w:t>
      </w:r>
    </w:p>
    <w:p w14:paraId="3E15325C" w14:textId="77777777" w:rsidR="0060763C" w:rsidRPr="00277397" w:rsidRDefault="00571327" w:rsidP="006E3890">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 xml:space="preserve">OGS created, produced, and aired </w:t>
      </w:r>
      <w:r w:rsidRPr="00277397">
        <w:rPr>
          <w:rFonts w:ascii="Times New Roman" w:hAnsi="Times New Roman" w:cs="Times New Roman"/>
          <w:i/>
          <w:sz w:val="24"/>
          <w:szCs w:val="24"/>
        </w:rPr>
        <w:t>Lawless Love</w:t>
      </w:r>
      <w:r w:rsidRPr="00277397">
        <w:rPr>
          <w:rFonts w:ascii="Times New Roman" w:hAnsi="Times New Roman" w:cs="Times New Roman"/>
          <w:sz w:val="24"/>
          <w:szCs w:val="24"/>
        </w:rPr>
        <w:t xml:space="preserve">, </w:t>
      </w:r>
      <w:r w:rsidR="00603DEB" w:rsidRPr="00277397">
        <w:rPr>
          <w:rFonts w:ascii="Times New Roman" w:hAnsi="Times New Roman" w:cs="Times New Roman"/>
          <w:sz w:val="24"/>
          <w:szCs w:val="24"/>
        </w:rPr>
        <w:t xml:space="preserve">an original television series.  </w:t>
      </w:r>
      <w:r w:rsidRPr="00277397">
        <w:rPr>
          <w:rFonts w:ascii="Times New Roman" w:hAnsi="Times New Roman" w:cs="Times New Roman"/>
          <w:sz w:val="24"/>
          <w:szCs w:val="24"/>
        </w:rPr>
        <w:t>(Compl. ¶</w:t>
      </w:r>
      <w:r w:rsidR="00603DEB" w:rsidRPr="00277397">
        <w:rPr>
          <w:rFonts w:ascii="Times New Roman" w:hAnsi="Times New Roman" w:cs="Times New Roman"/>
          <w:sz w:val="24"/>
          <w:szCs w:val="24"/>
        </w:rPr>
        <w:t xml:space="preserve"> 5, Jan. 17, 2012).  </w:t>
      </w:r>
      <w:r w:rsidR="000661D6" w:rsidRPr="00277397">
        <w:rPr>
          <w:rFonts w:ascii="Times New Roman" w:hAnsi="Times New Roman" w:cs="Times New Roman"/>
          <w:sz w:val="24"/>
          <w:szCs w:val="24"/>
        </w:rPr>
        <w:t>OG</w:t>
      </w:r>
      <w:r w:rsidR="00603DEB" w:rsidRPr="00277397">
        <w:rPr>
          <w:rFonts w:ascii="Times New Roman" w:hAnsi="Times New Roman" w:cs="Times New Roman"/>
          <w:sz w:val="24"/>
          <w:szCs w:val="24"/>
        </w:rPr>
        <w:t xml:space="preserve">S contacted Lime </w:t>
      </w:r>
      <w:r w:rsidR="000661D6" w:rsidRPr="00277397">
        <w:rPr>
          <w:rFonts w:ascii="Times New Roman" w:hAnsi="Times New Roman" w:cs="Times New Roman"/>
          <w:sz w:val="24"/>
          <w:szCs w:val="24"/>
        </w:rPr>
        <w:t xml:space="preserve">on March 27, 2010 to specially commission a screenplay for one episode of </w:t>
      </w:r>
      <w:r w:rsidR="000661D6" w:rsidRPr="00277397">
        <w:rPr>
          <w:rFonts w:ascii="Times New Roman" w:hAnsi="Times New Roman" w:cs="Times New Roman"/>
          <w:i/>
          <w:sz w:val="24"/>
          <w:szCs w:val="24"/>
        </w:rPr>
        <w:t>Lawless Love</w:t>
      </w:r>
      <w:r w:rsidR="000661D6" w:rsidRPr="00277397">
        <w:rPr>
          <w:rFonts w:ascii="Times New Roman" w:hAnsi="Times New Roman" w:cs="Times New Roman"/>
          <w:sz w:val="24"/>
          <w:szCs w:val="24"/>
        </w:rPr>
        <w:t>.</w:t>
      </w:r>
      <w:r w:rsidR="00603DEB" w:rsidRPr="00277397">
        <w:rPr>
          <w:rFonts w:ascii="Times New Roman" w:hAnsi="Times New Roman" w:cs="Times New Roman"/>
          <w:sz w:val="24"/>
          <w:szCs w:val="24"/>
        </w:rPr>
        <w:t xml:space="preserve">  </w:t>
      </w:r>
      <w:r w:rsidR="00B8586E" w:rsidRPr="00277397">
        <w:rPr>
          <w:rFonts w:ascii="Times New Roman" w:hAnsi="Times New Roman" w:cs="Times New Roman"/>
          <w:sz w:val="24"/>
          <w:szCs w:val="24"/>
        </w:rPr>
        <w:t>(</w:t>
      </w:r>
      <w:bookmarkStart w:id="5" w:name="CITRUS_BOOKMARK1000000172"/>
      <w:r w:rsidR="00B8586E" w:rsidRPr="00277397">
        <w:rPr>
          <w:rFonts w:ascii="Times New Roman" w:hAnsi="Times New Roman" w:cs="Times New Roman"/>
          <w:sz w:val="24"/>
          <w:szCs w:val="24"/>
          <w:u w:val="single"/>
        </w:rPr>
        <w:t>Id</w:t>
      </w:r>
      <w:r w:rsidR="00B8586E" w:rsidRPr="00277397">
        <w:rPr>
          <w:rFonts w:ascii="Times New Roman" w:hAnsi="Times New Roman" w:cs="Times New Roman"/>
          <w:sz w:val="24"/>
          <w:szCs w:val="24"/>
        </w:rPr>
        <w:t>. ¶</w:t>
      </w:r>
      <w:r w:rsidR="00603DEB" w:rsidRPr="00277397">
        <w:rPr>
          <w:rFonts w:ascii="Times New Roman" w:hAnsi="Times New Roman" w:cs="Times New Roman"/>
          <w:sz w:val="24"/>
          <w:szCs w:val="24"/>
        </w:rPr>
        <w:t xml:space="preserve"> 9</w:t>
      </w:r>
      <w:bookmarkEnd w:id="5"/>
      <w:r w:rsidR="00603DEB" w:rsidRPr="00277397">
        <w:rPr>
          <w:rFonts w:ascii="Times New Roman" w:hAnsi="Times New Roman" w:cs="Times New Roman"/>
          <w:sz w:val="24"/>
          <w:szCs w:val="24"/>
        </w:rPr>
        <w:t xml:space="preserve">).  </w:t>
      </w:r>
      <w:r w:rsidRPr="00277397">
        <w:rPr>
          <w:rFonts w:ascii="Times New Roman" w:hAnsi="Times New Roman" w:cs="Times New Roman"/>
          <w:sz w:val="24"/>
          <w:szCs w:val="24"/>
        </w:rPr>
        <w:t>Lime</w:t>
      </w:r>
      <w:r w:rsidR="000661D6" w:rsidRPr="00277397">
        <w:rPr>
          <w:rFonts w:ascii="Times New Roman" w:hAnsi="Times New Roman" w:cs="Times New Roman"/>
          <w:sz w:val="24"/>
          <w:szCs w:val="24"/>
        </w:rPr>
        <w:t xml:space="preserve"> </w:t>
      </w:r>
      <w:r w:rsidRPr="00277397">
        <w:rPr>
          <w:rFonts w:ascii="Times New Roman" w:hAnsi="Times New Roman" w:cs="Times New Roman"/>
          <w:sz w:val="24"/>
          <w:szCs w:val="24"/>
        </w:rPr>
        <w:t xml:space="preserve">met with Dave Nelson, the executive producer of </w:t>
      </w:r>
      <w:r w:rsidRPr="00277397">
        <w:rPr>
          <w:rFonts w:ascii="Times New Roman" w:hAnsi="Times New Roman" w:cs="Times New Roman"/>
          <w:i/>
          <w:sz w:val="24"/>
          <w:szCs w:val="24"/>
        </w:rPr>
        <w:t>Lawless Love</w:t>
      </w:r>
      <w:r w:rsidRPr="00277397">
        <w:rPr>
          <w:rFonts w:ascii="Times New Roman" w:hAnsi="Times New Roman" w:cs="Times New Roman"/>
          <w:sz w:val="24"/>
          <w:szCs w:val="24"/>
        </w:rPr>
        <w:t>, that same day</w:t>
      </w:r>
      <w:r w:rsidR="00603DEB" w:rsidRPr="00277397">
        <w:rPr>
          <w:rFonts w:ascii="Times New Roman" w:hAnsi="Times New Roman" w:cs="Times New Roman"/>
          <w:sz w:val="24"/>
          <w:szCs w:val="24"/>
        </w:rPr>
        <w:t xml:space="preserve">.  </w:t>
      </w:r>
      <w:r w:rsidR="00B8586E" w:rsidRPr="00277397">
        <w:rPr>
          <w:rFonts w:ascii="Times New Roman" w:hAnsi="Times New Roman" w:cs="Times New Roman"/>
          <w:sz w:val="24"/>
          <w:szCs w:val="24"/>
        </w:rPr>
        <w:t>(</w:t>
      </w:r>
      <w:bookmarkStart w:id="6" w:name="CITRUS_BOOKMARK1000000173"/>
      <w:r w:rsidR="00B8586E" w:rsidRPr="00277397">
        <w:rPr>
          <w:rFonts w:ascii="Times New Roman" w:hAnsi="Times New Roman" w:cs="Times New Roman"/>
          <w:sz w:val="24"/>
          <w:szCs w:val="24"/>
          <w:u w:val="single"/>
        </w:rPr>
        <w:t>Id</w:t>
      </w:r>
      <w:r w:rsidR="00827D69">
        <w:rPr>
          <w:rFonts w:ascii="Times New Roman" w:hAnsi="Times New Roman" w:cs="Times New Roman"/>
          <w:sz w:val="24"/>
          <w:szCs w:val="24"/>
        </w:rPr>
        <w:t>. ¶</w:t>
      </w:r>
      <w:r w:rsidR="00B8586E" w:rsidRPr="00277397">
        <w:rPr>
          <w:rFonts w:ascii="Times New Roman" w:hAnsi="Times New Roman" w:cs="Times New Roman"/>
          <w:sz w:val="24"/>
          <w:szCs w:val="24"/>
        </w:rPr>
        <w:t>¶</w:t>
      </w:r>
      <w:r w:rsidR="00603DEB" w:rsidRPr="00277397">
        <w:rPr>
          <w:rFonts w:ascii="Times New Roman" w:hAnsi="Times New Roman" w:cs="Times New Roman"/>
          <w:sz w:val="24"/>
          <w:szCs w:val="24"/>
        </w:rPr>
        <w:t xml:space="preserve"> 10, 12</w:t>
      </w:r>
      <w:bookmarkEnd w:id="6"/>
      <w:r w:rsidR="00603DEB" w:rsidRPr="00277397">
        <w:rPr>
          <w:rFonts w:ascii="Times New Roman" w:hAnsi="Times New Roman" w:cs="Times New Roman"/>
          <w:sz w:val="24"/>
          <w:szCs w:val="24"/>
        </w:rPr>
        <w:t xml:space="preserve">).  </w:t>
      </w:r>
      <w:r w:rsidRPr="00277397">
        <w:rPr>
          <w:rFonts w:ascii="Times New Roman" w:hAnsi="Times New Roman" w:cs="Times New Roman"/>
          <w:sz w:val="24"/>
          <w:szCs w:val="24"/>
        </w:rPr>
        <w:t xml:space="preserve">During the meeting, Lime and Nelson orally </w:t>
      </w:r>
      <w:r w:rsidRPr="00277397">
        <w:rPr>
          <w:rFonts w:ascii="Times New Roman" w:hAnsi="Times New Roman" w:cs="Times New Roman"/>
          <w:sz w:val="24"/>
          <w:szCs w:val="24"/>
        </w:rPr>
        <w:lastRenderedPageBreak/>
        <w:t xml:space="preserve">agreed that she would prepare a screenplay for </w:t>
      </w:r>
      <w:r w:rsidRPr="00277397">
        <w:rPr>
          <w:rFonts w:ascii="Times New Roman" w:hAnsi="Times New Roman" w:cs="Times New Roman"/>
          <w:i/>
          <w:sz w:val="24"/>
          <w:szCs w:val="24"/>
        </w:rPr>
        <w:t>Lawless Love</w:t>
      </w:r>
      <w:r w:rsidRPr="00277397">
        <w:rPr>
          <w:rFonts w:ascii="Times New Roman" w:hAnsi="Times New Roman" w:cs="Times New Roman"/>
          <w:sz w:val="24"/>
          <w:szCs w:val="24"/>
        </w:rPr>
        <w:t xml:space="preserve"> by April 1, 2010 </w:t>
      </w:r>
      <w:r w:rsidR="0053682B" w:rsidRPr="00277397">
        <w:rPr>
          <w:rFonts w:ascii="Times New Roman" w:hAnsi="Times New Roman" w:cs="Times New Roman"/>
          <w:sz w:val="24"/>
          <w:szCs w:val="24"/>
        </w:rPr>
        <w:t>for</w:t>
      </w:r>
      <w:r w:rsidRPr="00277397">
        <w:rPr>
          <w:rFonts w:ascii="Times New Roman" w:hAnsi="Times New Roman" w:cs="Times New Roman"/>
          <w:sz w:val="24"/>
          <w:szCs w:val="24"/>
        </w:rPr>
        <w:t xml:space="preserve"> $6,000 </w:t>
      </w:r>
      <w:r w:rsidR="0053682B" w:rsidRPr="00277397">
        <w:rPr>
          <w:rFonts w:ascii="Times New Roman" w:hAnsi="Times New Roman" w:cs="Times New Roman"/>
          <w:sz w:val="24"/>
          <w:szCs w:val="24"/>
        </w:rPr>
        <w:t>compensation</w:t>
      </w:r>
      <w:r w:rsidR="00603DEB" w:rsidRPr="00277397">
        <w:rPr>
          <w:rFonts w:ascii="Times New Roman" w:hAnsi="Times New Roman" w:cs="Times New Roman"/>
          <w:sz w:val="24"/>
          <w:szCs w:val="24"/>
        </w:rPr>
        <w:t xml:space="preserve">.  </w:t>
      </w:r>
      <w:r w:rsidR="00B8586E" w:rsidRPr="00277397">
        <w:rPr>
          <w:rFonts w:ascii="Times New Roman" w:hAnsi="Times New Roman" w:cs="Times New Roman"/>
          <w:sz w:val="24"/>
          <w:szCs w:val="24"/>
        </w:rPr>
        <w:t>(</w:t>
      </w:r>
      <w:bookmarkStart w:id="7" w:name="CITRUS_BOOKMARK1000000174"/>
      <w:r w:rsidR="00B8586E" w:rsidRPr="00277397">
        <w:rPr>
          <w:rFonts w:ascii="Times New Roman" w:hAnsi="Times New Roman" w:cs="Times New Roman"/>
          <w:sz w:val="24"/>
          <w:szCs w:val="24"/>
          <w:u w:val="single"/>
        </w:rPr>
        <w:t>Id</w:t>
      </w:r>
      <w:r w:rsidR="00827D69">
        <w:rPr>
          <w:rFonts w:ascii="Times New Roman" w:hAnsi="Times New Roman" w:cs="Times New Roman"/>
          <w:sz w:val="24"/>
          <w:szCs w:val="24"/>
        </w:rPr>
        <w:t>. ¶</w:t>
      </w:r>
      <w:r w:rsidR="00B8586E" w:rsidRPr="00277397">
        <w:rPr>
          <w:rFonts w:ascii="Times New Roman" w:hAnsi="Times New Roman" w:cs="Times New Roman"/>
          <w:sz w:val="24"/>
          <w:szCs w:val="24"/>
        </w:rPr>
        <w:t>¶ 13, 15</w:t>
      </w:r>
      <w:bookmarkEnd w:id="7"/>
      <w:r w:rsidR="00B8586E" w:rsidRPr="00277397">
        <w:rPr>
          <w:rFonts w:ascii="Times New Roman" w:hAnsi="Times New Roman" w:cs="Times New Roman"/>
          <w:sz w:val="24"/>
          <w:szCs w:val="24"/>
        </w:rPr>
        <w:t xml:space="preserve">). </w:t>
      </w:r>
      <w:r w:rsidR="00603DEB" w:rsidRPr="00277397">
        <w:rPr>
          <w:rFonts w:ascii="Times New Roman" w:hAnsi="Times New Roman" w:cs="Times New Roman"/>
          <w:sz w:val="24"/>
          <w:szCs w:val="24"/>
        </w:rPr>
        <w:t xml:space="preserve">  </w:t>
      </w:r>
      <w:r w:rsidRPr="00277397">
        <w:rPr>
          <w:rFonts w:ascii="Times New Roman" w:hAnsi="Times New Roman" w:cs="Times New Roman"/>
          <w:sz w:val="24"/>
          <w:szCs w:val="24"/>
        </w:rPr>
        <w:t>Nelson</w:t>
      </w:r>
      <w:r w:rsidR="00B34709" w:rsidRPr="00277397">
        <w:rPr>
          <w:rFonts w:ascii="Times New Roman" w:hAnsi="Times New Roman" w:cs="Times New Roman"/>
          <w:sz w:val="24"/>
          <w:szCs w:val="24"/>
        </w:rPr>
        <w:t xml:space="preserve"> briefly told</w:t>
      </w:r>
      <w:r w:rsidRPr="00277397">
        <w:rPr>
          <w:rFonts w:ascii="Times New Roman" w:hAnsi="Times New Roman" w:cs="Times New Roman"/>
          <w:sz w:val="24"/>
          <w:szCs w:val="24"/>
        </w:rPr>
        <w:t xml:space="preserve"> Lime that the work on the screenplay </w:t>
      </w:r>
      <w:r w:rsidR="00B34709" w:rsidRPr="00277397">
        <w:rPr>
          <w:rFonts w:ascii="Times New Roman" w:hAnsi="Times New Roman" w:cs="Times New Roman"/>
          <w:sz w:val="24"/>
          <w:szCs w:val="24"/>
        </w:rPr>
        <w:t>was</w:t>
      </w:r>
      <w:r w:rsidRPr="00277397">
        <w:rPr>
          <w:rFonts w:ascii="Times New Roman" w:hAnsi="Times New Roman" w:cs="Times New Roman"/>
          <w:sz w:val="24"/>
          <w:szCs w:val="24"/>
        </w:rPr>
        <w:t xml:space="preserve"> for hire and that for </w:t>
      </w:r>
      <w:r w:rsidR="0053682B" w:rsidRPr="00277397">
        <w:rPr>
          <w:rFonts w:ascii="Times New Roman" w:hAnsi="Times New Roman" w:cs="Times New Roman"/>
          <w:sz w:val="24"/>
          <w:szCs w:val="24"/>
        </w:rPr>
        <w:t>all intents and purposes, OGS would be</w:t>
      </w:r>
      <w:r w:rsidR="00603DEB" w:rsidRPr="00277397">
        <w:rPr>
          <w:rFonts w:ascii="Times New Roman" w:hAnsi="Times New Roman" w:cs="Times New Roman"/>
          <w:sz w:val="24"/>
          <w:szCs w:val="24"/>
        </w:rPr>
        <w:t xml:space="preserve"> the author.  </w:t>
      </w:r>
      <w:r w:rsidR="00B8586E" w:rsidRPr="00277397">
        <w:rPr>
          <w:rFonts w:ascii="Times New Roman" w:hAnsi="Times New Roman" w:cs="Times New Roman"/>
          <w:sz w:val="24"/>
          <w:szCs w:val="24"/>
        </w:rPr>
        <w:t>(</w:t>
      </w:r>
      <w:bookmarkStart w:id="8" w:name="CITRUS_BOOKMARK1000000175"/>
      <w:r w:rsidR="00B8586E" w:rsidRPr="00AE53F2">
        <w:rPr>
          <w:rFonts w:ascii="Times New Roman" w:hAnsi="Times New Roman" w:cs="Times New Roman"/>
          <w:sz w:val="24"/>
          <w:szCs w:val="24"/>
          <w:u w:val="single"/>
        </w:rPr>
        <w:t>Id</w:t>
      </w:r>
      <w:r w:rsidR="00B8586E" w:rsidRPr="00AE53F2">
        <w:rPr>
          <w:rFonts w:ascii="Times New Roman" w:hAnsi="Times New Roman" w:cs="Times New Roman"/>
          <w:sz w:val="24"/>
          <w:szCs w:val="24"/>
        </w:rPr>
        <w:t>. ¶</w:t>
      </w:r>
      <w:r w:rsidR="00603DEB" w:rsidRPr="00AE53F2">
        <w:rPr>
          <w:rFonts w:ascii="Times New Roman" w:hAnsi="Times New Roman" w:cs="Times New Roman"/>
          <w:sz w:val="24"/>
          <w:szCs w:val="24"/>
        </w:rPr>
        <w:t xml:space="preserve"> 16</w:t>
      </w:r>
      <w:bookmarkEnd w:id="8"/>
      <w:r w:rsidR="00603DEB" w:rsidRPr="00277397">
        <w:rPr>
          <w:rFonts w:ascii="Times New Roman" w:hAnsi="Times New Roman" w:cs="Times New Roman"/>
          <w:sz w:val="24"/>
          <w:szCs w:val="24"/>
        </w:rPr>
        <w:t xml:space="preserve">).  </w:t>
      </w:r>
      <w:r w:rsidRPr="00277397">
        <w:rPr>
          <w:rFonts w:ascii="Times New Roman" w:hAnsi="Times New Roman" w:cs="Times New Roman"/>
          <w:sz w:val="24"/>
          <w:szCs w:val="24"/>
        </w:rPr>
        <w:t xml:space="preserve">Nelson asked Lime if that was </w:t>
      </w:r>
      <w:r w:rsidR="0053682B" w:rsidRPr="00277397">
        <w:rPr>
          <w:rFonts w:ascii="Times New Roman" w:hAnsi="Times New Roman" w:cs="Times New Roman"/>
          <w:sz w:val="24"/>
          <w:szCs w:val="24"/>
        </w:rPr>
        <w:t>“</w:t>
      </w:r>
      <w:r w:rsidRPr="00277397">
        <w:rPr>
          <w:rFonts w:ascii="Times New Roman" w:hAnsi="Times New Roman" w:cs="Times New Roman"/>
          <w:sz w:val="24"/>
          <w:szCs w:val="24"/>
        </w:rPr>
        <w:t>OK</w:t>
      </w:r>
      <w:r w:rsidR="0053682B" w:rsidRPr="00277397">
        <w:rPr>
          <w:rFonts w:ascii="Times New Roman" w:hAnsi="Times New Roman" w:cs="Times New Roman"/>
          <w:sz w:val="24"/>
          <w:szCs w:val="24"/>
        </w:rPr>
        <w:t>”</w:t>
      </w:r>
      <w:r w:rsidRPr="00277397">
        <w:rPr>
          <w:rFonts w:ascii="Times New Roman" w:hAnsi="Times New Roman" w:cs="Times New Roman"/>
          <w:sz w:val="24"/>
          <w:szCs w:val="24"/>
        </w:rPr>
        <w:t xml:space="preserve"> with her, to which she replied “Yes.”  </w:t>
      </w:r>
      <w:r w:rsidR="00B8586E" w:rsidRPr="00277397">
        <w:rPr>
          <w:rFonts w:ascii="Times New Roman" w:hAnsi="Times New Roman" w:cs="Times New Roman"/>
          <w:sz w:val="24"/>
          <w:szCs w:val="24"/>
        </w:rPr>
        <w:t>(</w:t>
      </w:r>
      <w:bookmarkStart w:id="9" w:name="CITRUS_BOOKMARK1000000176"/>
      <w:r w:rsidR="00B8586E" w:rsidRPr="00277397">
        <w:rPr>
          <w:rFonts w:ascii="Times New Roman" w:hAnsi="Times New Roman" w:cs="Times New Roman"/>
          <w:sz w:val="24"/>
          <w:szCs w:val="24"/>
          <w:u w:val="single"/>
        </w:rPr>
        <w:t>Id</w:t>
      </w:r>
      <w:r w:rsidR="00603DEB" w:rsidRPr="00277397">
        <w:rPr>
          <w:rFonts w:ascii="Times New Roman" w:hAnsi="Times New Roman" w:cs="Times New Roman"/>
          <w:sz w:val="24"/>
          <w:szCs w:val="24"/>
        </w:rPr>
        <w:t xml:space="preserve">.).  </w:t>
      </w:r>
      <w:r w:rsidR="00B8586E" w:rsidRPr="00277397">
        <w:rPr>
          <w:rFonts w:ascii="Times New Roman" w:hAnsi="Times New Roman" w:cs="Times New Roman"/>
          <w:sz w:val="24"/>
          <w:szCs w:val="24"/>
        </w:rPr>
        <w:t>No</w:t>
      </w:r>
      <w:bookmarkEnd w:id="9"/>
      <w:r w:rsidR="0060763C" w:rsidRPr="00277397">
        <w:rPr>
          <w:rFonts w:ascii="Times New Roman" w:hAnsi="Times New Roman" w:cs="Times New Roman"/>
          <w:sz w:val="24"/>
          <w:szCs w:val="24"/>
        </w:rPr>
        <w:t xml:space="preserve"> written agreement was signed by OGS and Lime preceding t</w:t>
      </w:r>
      <w:r w:rsidR="00603DEB" w:rsidRPr="00277397">
        <w:rPr>
          <w:rFonts w:ascii="Times New Roman" w:hAnsi="Times New Roman" w:cs="Times New Roman"/>
          <w:sz w:val="24"/>
          <w:szCs w:val="24"/>
        </w:rPr>
        <w:t xml:space="preserve">he creation of the screenplay.  </w:t>
      </w:r>
      <w:r w:rsidR="0060763C" w:rsidRPr="00277397">
        <w:rPr>
          <w:rFonts w:ascii="Times New Roman" w:hAnsi="Times New Roman" w:cs="Times New Roman"/>
          <w:sz w:val="24"/>
          <w:szCs w:val="24"/>
        </w:rPr>
        <w:t>(Answer ¶ 3).</w:t>
      </w:r>
    </w:p>
    <w:p w14:paraId="4E39D773" w14:textId="77777777" w:rsidR="00B8586E" w:rsidRPr="00277397" w:rsidRDefault="00571327" w:rsidP="006E3890">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Lime submitted the screen</w:t>
      </w:r>
      <w:r w:rsidR="00B34709" w:rsidRPr="00277397">
        <w:rPr>
          <w:rFonts w:ascii="Times New Roman" w:hAnsi="Times New Roman" w:cs="Times New Roman"/>
          <w:sz w:val="24"/>
          <w:szCs w:val="24"/>
        </w:rPr>
        <w:t>play, “Anticipatory Repudiation,</w:t>
      </w:r>
      <w:r w:rsidRPr="00277397">
        <w:rPr>
          <w:rFonts w:ascii="Times New Roman" w:hAnsi="Times New Roman" w:cs="Times New Roman"/>
          <w:sz w:val="24"/>
          <w:szCs w:val="24"/>
        </w:rPr>
        <w:t>”</w:t>
      </w:r>
      <w:r w:rsidR="00B34709" w:rsidRPr="00277397">
        <w:rPr>
          <w:rFonts w:ascii="Times New Roman" w:hAnsi="Times New Roman" w:cs="Times New Roman"/>
          <w:sz w:val="24"/>
          <w:szCs w:val="24"/>
        </w:rPr>
        <w:t xml:space="preserve"> on April 1, 2010.</w:t>
      </w:r>
      <w:r w:rsidRPr="00277397">
        <w:rPr>
          <w:rFonts w:ascii="Times New Roman" w:hAnsi="Times New Roman" w:cs="Times New Roman"/>
          <w:sz w:val="24"/>
          <w:szCs w:val="24"/>
        </w:rPr>
        <w:t xml:space="preserve">  (</w:t>
      </w:r>
      <w:r w:rsidR="0060763C" w:rsidRPr="00277397">
        <w:rPr>
          <w:rFonts w:ascii="Times New Roman" w:hAnsi="Times New Roman" w:cs="Times New Roman"/>
          <w:sz w:val="24"/>
          <w:szCs w:val="24"/>
        </w:rPr>
        <w:t xml:space="preserve">Compl. </w:t>
      </w:r>
      <w:r w:rsidRPr="00277397">
        <w:rPr>
          <w:rFonts w:ascii="Times New Roman" w:hAnsi="Times New Roman" w:cs="Times New Roman"/>
          <w:sz w:val="24"/>
          <w:szCs w:val="24"/>
        </w:rPr>
        <w:t>¶</w:t>
      </w:r>
      <w:r w:rsidR="0060763C" w:rsidRPr="00277397">
        <w:rPr>
          <w:rFonts w:ascii="Times New Roman" w:hAnsi="Times New Roman" w:cs="Times New Roman"/>
          <w:sz w:val="24"/>
          <w:szCs w:val="24"/>
        </w:rPr>
        <w:t xml:space="preserve"> </w:t>
      </w:r>
      <w:r w:rsidR="00B34709" w:rsidRPr="00277397">
        <w:rPr>
          <w:rFonts w:ascii="Times New Roman" w:hAnsi="Times New Roman" w:cs="Times New Roman"/>
          <w:sz w:val="24"/>
          <w:szCs w:val="24"/>
        </w:rPr>
        <w:t xml:space="preserve">21).  </w:t>
      </w:r>
      <w:r w:rsidR="0060763C" w:rsidRPr="00277397">
        <w:rPr>
          <w:rFonts w:ascii="Times New Roman" w:hAnsi="Times New Roman" w:cs="Times New Roman"/>
          <w:sz w:val="24"/>
          <w:szCs w:val="24"/>
        </w:rPr>
        <w:t xml:space="preserve">OGS received a certificate of registration of the screenplay, “Anticipatory Repudiation,” from the Register of Copyrights dated April 2, 2010.  </w:t>
      </w:r>
      <w:r w:rsidR="00B8586E" w:rsidRPr="00277397">
        <w:rPr>
          <w:rFonts w:ascii="Times New Roman" w:hAnsi="Times New Roman" w:cs="Times New Roman"/>
          <w:sz w:val="24"/>
          <w:szCs w:val="24"/>
        </w:rPr>
        <w:t>(</w:t>
      </w:r>
      <w:bookmarkStart w:id="10" w:name="CITRUS_BOOKMARK1000000177"/>
      <w:r w:rsidR="00B8586E" w:rsidRPr="00277397">
        <w:rPr>
          <w:rFonts w:ascii="Times New Roman" w:hAnsi="Times New Roman" w:cs="Times New Roman"/>
          <w:sz w:val="24"/>
          <w:szCs w:val="24"/>
          <w:u w:val="single"/>
        </w:rPr>
        <w:t>Id</w:t>
      </w:r>
      <w:r w:rsidR="00B8586E" w:rsidRPr="00277397">
        <w:rPr>
          <w:rFonts w:ascii="Times New Roman" w:hAnsi="Times New Roman" w:cs="Times New Roman"/>
          <w:sz w:val="24"/>
          <w:szCs w:val="24"/>
        </w:rPr>
        <w:t>. ¶ 22</w:t>
      </w:r>
      <w:bookmarkEnd w:id="10"/>
      <w:r w:rsidR="00B8586E" w:rsidRPr="00277397">
        <w:rPr>
          <w:rFonts w:ascii="Times New Roman" w:hAnsi="Times New Roman" w:cs="Times New Roman"/>
          <w:sz w:val="24"/>
          <w:szCs w:val="24"/>
        </w:rPr>
        <w:t xml:space="preserve">).   </w:t>
      </w:r>
      <w:r w:rsidR="002E2523" w:rsidRPr="00277397">
        <w:rPr>
          <w:rFonts w:ascii="Times New Roman" w:hAnsi="Times New Roman" w:cs="Times New Roman"/>
          <w:sz w:val="24"/>
          <w:szCs w:val="24"/>
        </w:rPr>
        <w:t>It was not until April 6, 2010 when</w:t>
      </w:r>
      <w:r w:rsidRPr="00277397">
        <w:rPr>
          <w:rFonts w:ascii="Times New Roman" w:hAnsi="Times New Roman" w:cs="Times New Roman"/>
          <w:sz w:val="24"/>
          <w:szCs w:val="24"/>
        </w:rPr>
        <w:t xml:space="preserve"> Lime returned to OGS to </w:t>
      </w:r>
      <w:r w:rsidR="002E2523" w:rsidRPr="00277397">
        <w:rPr>
          <w:rFonts w:ascii="Times New Roman" w:hAnsi="Times New Roman" w:cs="Times New Roman"/>
          <w:sz w:val="24"/>
          <w:szCs w:val="24"/>
        </w:rPr>
        <w:t xml:space="preserve">pick up her check for $6,000 that </w:t>
      </w:r>
      <w:r w:rsidR="00C14CE9" w:rsidRPr="00277397">
        <w:rPr>
          <w:rFonts w:ascii="Times New Roman" w:hAnsi="Times New Roman" w:cs="Times New Roman"/>
          <w:sz w:val="24"/>
          <w:szCs w:val="24"/>
        </w:rPr>
        <w:t>OGS</w:t>
      </w:r>
      <w:r w:rsidR="002E2523" w:rsidRPr="00277397">
        <w:rPr>
          <w:rFonts w:ascii="Times New Roman" w:hAnsi="Times New Roman" w:cs="Times New Roman"/>
          <w:sz w:val="24"/>
          <w:szCs w:val="24"/>
        </w:rPr>
        <w:t xml:space="preserve"> presented </w:t>
      </w:r>
      <w:r w:rsidR="00C14CE9" w:rsidRPr="00277397">
        <w:rPr>
          <w:rFonts w:ascii="Times New Roman" w:hAnsi="Times New Roman" w:cs="Times New Roman"/>
          <w:sz w:val="24"/>
          <w:szCs w:val="24"/>
        </w:rPr>
        <w:t xml:space="preserve">her </w:t>
      </w:r>
      <w:r w:rsidR="002E2523" w:rsidRPr="00277397">
        <w:rPr>
          <w:rFonts w:ascii="Times New Roman" w:hAnsi="Times New Roman" w:cs="Times New Roman"/>
          <w:sz w:val="24"/>
          <w:szCs w:val="24"/>
        </w:rPr>
        <w:t xml:space="preserve">with a “Work-Made-For-Hire-Agreement.”  </w:t>
      </w:r>
      <w:r w:rsidR="00B8586E" w:rsidRPr="00277397">
        <w:rPr>
          <w:rFonts w:ascii="Times New Roman" w:hAnsi="Times New Roman" w:cs="Times New Roman"/>
          <w:sz w:val="24"/>
          <w:szCs w:val="24"/>
        </w:rPr>
        <w:t>(</w:t>
      </w:r>
      <w:bookmarkStart w:id="11" w:name="CITRUS_BOOKMARK1000000178"/>
      <w:r w:rsidR="00B8586E" w:rsidRPr="00277397">
        <w:rPr>
          <w:rFonts w:ascii="Times New Roman" w:hAnsi="Times New Roman" w:cs="Times New Roman"/>
          <w:sz w:val="24"/>
          <w:szCs w:val="24"/>
          <w:u w:val="single"/>
        </w:rPr>
        <w:t>Id</w:t>
      </w:r>
      <w:r w:rsidR="00B8586E" w:rsidRPr="00277397">
        <w:rPr>
          <w:rFonts w:ascii="Times New Roman" w:hAnsi="Times New Roman" w:cs="Times New Roman"/>
          <w:sz w:val="24"/>
          <w:szCs w:val="24"/>
        </w:rPr>
        <w:t>. ¶¶ 16, 17, 24</w:t>
      </w:r>
      <w:bookmarkEnd w:id="11"/>
      <w:r w:rsidR="00B8586E" w:rsidRPr="00277397">
        <w:rPr>
          <w:rFonts w:ascii="Times New Roman" w:hAnsi="Times New Roman" w:cs="Times New Roman"/>
          <w:sz w:val="24"/>
          <w:szCs w:val="24"/>
        </w:rPr>
        <w:t xml:space="preserve">).   </w:t>
      </w:r>
      <w:r w:rsidRPr="00277397">
        <w:rPr>
          <w:rFonts w:ascii="Times New Roman" w:hAnsi="Times New Roman" w:cs="Times New Roman"/>
          <w:sz w:val="24"/>
          <w:szCs w:val="24"/>
        </w:rPr>
        <w:t xml:space="preserve">The agreement stated, “I understand and agree that I have prepared the screenplay, ‘Anticipatory Repudiation’ as a work made for hire under the federal Copyright Act.  Pursuant to this law, OGS TV is the author of this screenplay.”  </w:t>
      </w:r>
      <w:r w:rsidR="00B8586E" w:rsidRPr="00277397">
        <w:rPr>
          <w:rFonts w:ascii="Times New Roman" w:hAnsi="Times New Roman" w:cs="Times New Roman"/>
          <w:sz w:val="24"/>
          <w:szCs w:val="24"/>
        </w:rPr>
        <w:t>(</w:t>
      </w:r>
      <w:bookmarkStart w:id="12" w:name="CITRUS_BOOKMARK1000000179"/>
      <w:r w:rsidR="00B8586E" w:rsidRPr="00277397">
        <w:rPr>
          <w:rFonts w:ascii="Times New Roman" w:hAnsi="Times New Roman" w:cs="Times New Roman"/>
          <w:sz w:val="24"/>
          <w:szCs w:val="24"/>
          <w:u w:val="single"/>
        </w:rPr>
        <w:t>Id</w:t>
      </w:r>
      <w:r w:rsidR="00B8586E" w:rsidRPr="00277397">
        <w:rPr>
          <w:rFonts w:ascii="Times New Roman" w:hAnsi="Times New Roman" w:cs="Times New Roman"/>
          <w:sz w:val="24"/>
          <w:szCs w:val="24"/>
        </w:rPr>
        <w:t>. ¶ 24</w:t>
      </w:r>
      <w:bookmarkEnd w:id="12"/>
      <w:r w:rsidR="00B8586E" w:rsidRPr="00277397">
        <w:rPr>
          <w:rFonts w:ascii="Times New Roman" w:hAnsi="Times New Roman" w:cs="Times New Roman"/>
          <w:sz w:val="24"/>
          <w:szCs w:val="24"/>
        </w:rPr>
        <w:t xml:space="preserve">).  </w:t>
      </w:r>
      <w:r w:rsidR="002E2523" w:rsidRPr="00277397">
        <w:rPr>
          <w:rFonts w:ascii="Times New Roman" w:hAnsi="Times New Roman" w:cs="Times New Roman"/>
          <w:sz w:val="24"/>
          <w:szCs w:val="24"/>
        </w:rPr>
        <w:t>Both Nelson and Lime signed the document</w:t>
      </w:r>
      <w:r w:rsidR="00E60E83" w:rsidRPr="00277397">
        <w:rPr>
          <w:rFonts w:ascii="Times New Roman" w:hAnsi="Times New Roman" w:cs="Times New Roman"/>
          <w:sz w:val="24"/>
          <w:szCs w:val="24"/>
        </w:rPr>
        <w:t xml:space="preserve"> on April 6, 2010</w:t>
      </w:r>
      <w:r w:rsidR="002E2523" w:rsidRPr="00277397">
        <w:rPr>
          <w:rFonts w:ascii="Times New Roman" w:hAnsi="Times New Roman" w:cs="Times New Roman"/>
          <w:sz w:val="24"/>
          <w:szCs w:val="24"/>
        </w:rPr>
        <w:t xml:space="preserve">.  </w:t>
      </w:r>
      <w:r w:rsidR="00B8586E" w:rsidRPr="00277397">
        <w:rPr>
          <w:rFonts w:ascii="Times New Roman" w:hAnsi="Times New Roman" w:cs="Times New Roman"/>
          <w:sz w:val="24"/>
          <w:szCs w:val="24"/>
        </w:rPr>
        <w:t>(</w:t>
      </w:r>
      <w:bookmarkStart w:id="13" w:name="CITRUS_BOOKMARK1000000180"/>
      <w:r w:rsidR="00B8586E" w:rsidRPr="00277397">
        <w:rPr>
          <w:rFonts w:ascii="Times New Roman" w:hAnsi="Times New Roman" w:cs="Times New Roman"/>
          <w:sz w:val="24"/>
          <w:szCs w:val="24"/>
          <w:u w:val="single"/>
        </w:rPr>
        <w:t>Id</w:t>
      </w:r>
      <w:r w:rsidR="00B8586E" w:rsidRPr="00277397">
        <w:rPr>
          <w:rFonts w:ascii="Times New Roman" w:hAnsi="Times New Roman" w:cs="Times New Roman"/>
          <w:sz w:val="24"/>
          <w:szCs w:val="24"/>
        </w:rPr>
        <w:t>. ¶¶ 24, 25</w:t>
      </w:r>
      <w:bookmarkEnd w:id="13"/>
      <w:r w:rsidR="00B8586E" w:rsidRPr="00277397">
        <w:rPr>
          <w:rFonts w:ascii="Times New Roman" w:hAnsi="Times New Roman" w:cs="Times New Roman"/>
          <w:sz w:val="24"/>
          <w:szCs w:val="24"/>
        </w:rPr>
        <w:t xml:space="preserve">).   </w:t>
      </w:r>
    </w:p>
    <w:p w14:paraId="1C0B436D" w14:textId="77777777" w:rsidR="00930938" w:rsidRPr="00277397" w:rsidRDefault="00555C4C" w:rsidP="006E3890">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OGS did not air “Anticipatory Repudiation.”  (</w:t>
      </w:r>
      <w:bookmarkStart w:id="14" w:name="CITRUS_BOOKMARK1000000181"/>
      <w:r w:rsidRPr="00277397">
        <w:rPr>
          <w:rFonts w:ascii="Times New Roman" w:hAnsi="Times New Roman" w:cs="Times New Roman"/>
          <w:sz w:val="24"/>
          <w:szCs w:val="24"/>
          <w:u w:val="single"/>
        </w:rPr>
        <w:t>Id</w:t>
      </w:r>
      <w:r w:rsidRPr="00277397">
        <w:rPr>
          <w:rFonts w:ascii="Times New Roman" w:hAnsi="Times New Roman" w:cs="Times New Roman"/>
          <w:sz w:val="24"/>
          <w:szCs w:val="24"/>
        </w:rPr>
        <w:t>. ¶ 26</w:t>
      </w:r>
      <w:bookmarkEnd w:id="14"/>
      <w:r w:rsidRPr="00277397">
        <w:rPr>
          <w:rFonts w:ascii="Times New Roman" w:hAnsi="Times New Roman" w:cs="Times New Roman"/>
          <w:sz w:val="24"/>
          <w:szCs w:val="24"/>
        </w:rPr>
        <w:t xml:space="preserve">).  </w:t>
      </w:r>
      <w:r w:rsidR="00E60E83" w:rsidRPr="00277397">
        <w:rPr>
          <w:rFonts w:ascii="Times New Roman" w:hAnsi="Times New Roman" w:cs="Times New Roman"/>
          <w:sz w:val="24"/>
          <w:szCs w:val="24"/>
        </w:rPr>
        <w:t>On</w:t>
      </w:r>
      <w:r w:rsidR="002E2523" w:rsidRPr="00277397">
        <w:rPr>
          <w:rFonts w:ascii="Times New Roman" w:hAnsi="Times New Roman" w:cs="Times New Roman"/>
          <w:sz w:val="24"/>
          <w:szCs w:val="24"/>
        </w:rPr>
        <w:t xml:space="preserve"> June 1, 2010, a</w:t>
      </w:r>
      <w:r w:rsidR="00571327" w:rsidRPr="00277397">
        <w:rPr>
          <w:rFonts w:ascii="Times New Roman" w:hAnsi="Times New Roman" w:cs="Times New Roman"/>
          <w:sz w:val="24"/>
          <w:szCs w:val="24"/>
        </w:rPr>
        <w:t xml:space="preserve">fter the television season had ended, Lime called Nelson to ask why </w:t>
      </w:r>
      <w:r w:rsidRPr="00277397">
        <w:rPr>
          <w:rFonts w:ascii="Times New Roman" w:hAnsi="Times New Roman" w:cs="Times New Roman"/>
          <w:sz w:val="24"/>
          <w:szCs w:val="24"/>
        </w:rPr>
        <w:t xml:space="preserve">her screenplay was not used.  </w:t>
      </w:r>
      <w:r w:rsidR="00B8586E" w:rsidRPr="00277397">
        <w:rPr>
          <w:rFonts w:ascii="Times New Roman" w:hAnsi="Times New Roman" w:cs="Times New Roman"/>
          <w:sz w:val="24"/>
          <w:szCs w:val="24"/>
        </w:rPr>
        <w:t>(</w:t>
      </w:r>
      <w:bookmarkStart w:id="15" w:name="CITRUS_BOOKMARK1000000182"/>
      <w:r w:rsidR="00B8586E" w:rsidRPr="00277397">
        <w:rPr>
          <w:rFonts w:ascii="Times New Roman" w:hAnsi="Times New Roman" w:cs="Times New Roman"/>
          <w:sz w:val="24"/>
          <w:szCs w:val="24"/>
          <w:u w:val="single"/>
        </w:rPr>
        <w:t>Id</w:t>
      </w:r>
      <w:bookmarkEnd w:id="15"/>
      <w:r w:rsidR="00B8586E" w:rsidRPr="00277397">
        <w:rPr>
          <w:rFonts w:ascii="Times New Roman" w:hAnsi="Times New Roman" w:cs="Times New Roman"/>
          <w:sz w:val="24"/>
          <w:szCs w:val="24"/>
        </w:rPr>
        <w:t>.</w:t>
      </w:r>
      <w:r w:rsidRPr="00277397">
        <w:rPr>
          <w:rFonts w:ascii="Times New Roman" w:hAnsi="Times New Roman" w:cs="Times New Roman"/>
          <w:sz w:val="24"/>
          <w:szCs w:val="24"/>
        </w:rPr>
        <w:t>)</w:t>
      </w:r>
      <w:r w:rsidR="00B8586E" w:rsidRPr="00277397">
        <w:rPr>
          <w:rFonts w:ascii="Times New Roman" w:hAnsi="Times New Roman" w:cs="Times New Roman"/>
          <w:sz w:val="24"/>
          <w:szCs w:val="24"/>
        </w:rPr>
        <w:t xml:space="preserve">.  </w:t>
      </w:r>
      <w:r w:rsidR="00930938" w:rsidRPr="00277397">
        <w:rPr>
          <w:rFonts w:ascii="Times New Roman" w:hAnsi="Times New Roman" w:cs="Times New Roman"/>
          <w:sz w:val="24"/>
          <w:szCs w:val="24"/>
        </w:rPr>
        <w:t xml:space="preserve">Nearly three months after Lime’s conversation with Nelson, Lime and TinyTV broadcast “The Love Below” on a new television series, </w:t>
      </w:r>
      <w:r w:rsidR="00571327" w:rsidRPr="00277397">
        <w:rPr>
          <w:rFonts w:ascii="Times New Roman" w:hAnsi="Times New Roman" w:cs="Times New Roman"/>
          <w:i/>
          <w:sz w:val="24"/>
          <w:szCs w:val="24"/>
        </w:rPr>
        <w:t>The Tin Can</w:t>
      </w:r>
      <w:r w:rsidR="00571327" w:rsidRPr="00277397">
        <w:rPr>
          <w:rFonts w:ascii="Times New Roman" w:hAnsi="Times New Roman" w:cs="Times New Roman"/>
          <w:sz w:val="24"/>
          <w:szCs w:val="24"/>
        </w:rPr>
        <w:t>, to the public throughout the United States</w:t>
      </w:r>
      <w:r w:rsidR="007B1F66" w:rsidRPr="00277397">
        <w:rPr>
          <w:rFonts w:ascii="Times New Roman" w:hAnsi="Times New Roman" w:cs="Times New Roman"/>
          <w:sz w:val="24"/>
          <w:szCs w:val="24"/>
        </w:rPr>
        <w:t xml:space="preserve">.  </w:t>
      </w:r>
      <w:r w:rsidR="00B8586E" w:rsidRPr="00277397">
        <w:rPr>
          <w:rFonts w:ascii="Times New Roman" w:hAnsi="Times New Roman" w:cs="Times New Roman"/>
          <w:sz w:val="24"/>
          <w:szCs w:val="24"/>
        </w:rPr>
        <w:t>(</w:t>
      </w:r>
      <w:bookmarkStart w:id="16" w:name="CITRUS_BOOKMARK1000000183"/>
      <w:r w:rsidR="00B8586E" w:rsidRPr="00277397">
        <w:rPr>
          <w:rFonts w:ascii="Times New Roman" w:hAnsi="Times New Roman" w:cs="Times New Roman"/>
          <w:sz w:val="24"/>
          <w:szCs w:val="24"/>
          <w:u w:val="single"/>
        </w:rPr>
        <w:t>Id</w:t>
      </w:r>
      <w:r w:rsidR="00B8586E" w:rsidRPr="00277397">
        <w:rPr>
          <w:rFonts w:ascii="Times New Roman" w:hAnsi="Times New Roman" w:cs="Times New Roman"/>
          <w:sz w:val="24"/>
          <w:szCs w:val="24"/>
        </w:rPr>
        <w:t>. ¶¶</w:t>
      </w:r>
      <w:r w:rsidRPr="00277397">
        <w:rPr>
          <w:rFonts w:ascii="Times New Roman" w:hAnsi="Times New Roman" w:cs="Times New Roman"/>
          <w:sz w:val="24"/>
          <w:szCs w:val="24"/>
        </w:rPr>
        <w:t xml:space="preserve"> 28, 29</w:t>
      </w:r>
      <w:bookmarkEnd w:id="16"/>
      <w:r w:rsidRPr="00277397">
        <w:rPr>
          <w:rFonts w:ascii="Times New Roman" w:hAnsi="Times New Roman" w:cs="Times New Roman"/>
          <w:sz w:val="24"/>
          <w:szCs w:val="24"/>
        </w:rPr>
        <w:t xml:space="preserve">).  Although </w:t>
      </w:r>
      <w:r w:rsidR="00930938" w:rsidRPr="00277397">
        <w:rPr>
          <w:rFonts w:ascii="Times New Roman" w:hAnsi="Times New Roman" w:cs="Times New Roman"/>
          <w:sz w:val="24"/>
          <w:szCs w:val="24"/>
        </w:rPr>
        <w:t>“The Love Below” shared some similarities wi</w:t>
      </w:r>
      <w:r w:rsidRPr="00277397">
        <w:rPr>
          <w:rFonts w:ascii="Times New Roman" w:hAnsi="Times New Roman" w:cs="Times New Roman"/>
          <w:sz w:val="24"/>
          <w:szCs w:val="24"/>
        </w:rPr>
        <w:t>th “Anticipatory Repudiation,” it</w:t>
      </w:r>
      <w:r w:rsidR="00930938" w:rsidRPr="00277397">
        <w:rPr>
          <w:rFonts w:ascii="Times New Roman" w:hAnsi="Times New Roman" w:cs="Times New Roman"/>
          <w:sz w:val="24"/>
          <w:szCs w:val="24"/>
        </w:rPr>
        <w:t xml:space="preserve"> differed in </w:t>
      </w:r>
      <w:r w:rsidRPr="00277397">
        <w:rPr>
          <w:rFonts w:ascii="Times New Roman" w:hAnsi="Times New Roman" w:cs="Times New Roman"/>
          <w:sz w:val="24"/>
          <w:szCs w:val="24"/>
        </w:rPr>
        <w:t>title</w:t>
      </w:r>
      <w:r w:rsidR="00930938" w:rsidRPr="00277397">
        <w:rPr>
          <w:rFonts w:ascii="Times New Roman" w:hAnsi="Times New Roman" w:cs="Times New Roman"/>
          <w:sz w:val="24"/>
          <w:szCs w:val="24"/>
        </w:rPr>
        <w:t xml:space="preserve">, setting, premise, and names and occupations of the characters.  </w:t>
      </w:r>
      <w:r w:rsidR="00B8586E" w:rsidRPr="00277397">
        <w:rPr>
          <w:rFonts w:ascii="Times New Roman" w:hAnsi="Times New Roman" w:cs="Times New Roman"/>
          <w:sz w:val="24"/>
          <w:szCs w:val="24"/>
        </w:rPr>
        <w:t>(</w:t>
      </w:r>
      <w:bookmarkStart w:id="17" w:name="CITRUS_BOOKMARK1000000184"/>
      <w:r w:rsidR="00B8586E" w:rsidRPr="00277397">
        <w:rPr>
          <w:rFonts w:ascii="Times New Roman" w:hAnsi="Times New Roman" w:cs="Times New Roman"/>
          <w:sz w:val="24"/>
          <w:szCs w:val="24"/>
          <w:u w:val="single"/>
        </w:rPr>
        <w:t>Id</w:t>
      </w:r>
      <w:r w:rsidR="00B8586E" w:rsidRPr="00277397">
        <w:rPr>
          <w:rFonts w:ascii="Times New Roman" w:hAnsi="Times New Roman" w:cs="Times New Roman"/>
          <w:sz w:val="24"/>
          <w:szCs w:val="24"/>
        </w:rPr>
        <w:t>. ¶ 31</w:t>
      </w:r>
      <w:bookmarkEnd w:id="17"/>
      <w:r w:rsidR="00B8586E" w:rsidRPr="00277397">
        <w:rPr>
          <w:rFonts w:ascii="Times New Roman" w:hAnsi="Times New Roman" w:cs="Times New Roman"/>
          <w:sz w:val="24"/>
          <w:szCs w:val="24"/>
        </w:rPr>
        <w:t xml:space="preserve">).  </w:t>
      </w:r>
    </w:p>
    <w:p w14:paraId="77266E9B" w14:textId="77777777" w:rsidR="00B8586E" w:rsidRPr="00277397" w:rsidRDefault="007B1F66" w:rsidP="00555C4C">
      <w:pPr>
        <w:spacing w:line="480" w:lineRule="auto"/>
        <w:ind w:firstLine="720"/>
        <w:jc w:val="both"/>
      </w:pPr>
      <w:r w:rsidRPr="00277397">
        <w:t>OGS</w:t>
      </w:r>
      <w:r w:rsidR="00930938" w:rsidRPr="00277397">
        <w:t xml:space="preserve"> now</w:t>
      </w:r>
      <w:r w:rsidRPr="00277397">
        <w:t xml:space="preserve"> claims that it has</w:t>
      </w:r>
      <w:r w:rsidR="00930938" w:rsidRPr="00277397">
        <w:t xml:space="preserve"> the sole</w:t>
      </w:r>
      <w:r w:rsidRPr="00277397">
        <w:t xml:space="preserve"> rights to “Anticipatory Repudiation” and that Lime and TinyTV’s broadcast of “The Love Below” is infringing upon those rights.  </w:t>
      </w:r>
      <w:r w:rsidR="00B8586E" w:rsidRPr="00277397">
        <w:t>(</w:t>
      </w:r>
      <w:bookmarkStart w:id="18" w:name="CITRUS_BOOKMARK1000000185"/>
      <w:r w:rsidR="00B8586E" w:rsidRPr="00277397">
        <w:rPr>
          <w:u w:val="single"/>
        </w:rPr>
        <w:t>Id</w:t>
      </w:r>
      <w:r w:rsidR="00B8586E" w:rsidRPr="00277397">
        <w:t>. ¶¶ 32, 33</w:t>
      </w:r>
      <w:bookmarkEnd w:id="18"/>
      <w:r w:rsidR="00B8586E" w:rsidRPr="00277397">
        <w:t xml:space="preserve">).   </w:t>
      </w:r>
      <w:r w:rsidR="00930938" w:rsidRPr="00277397">
        <w:lastRenderedPageBreak/>
        <w:t xml:space="preserve">Lime and TinyTV respond that because no written agreement was signed by OGS and Lime preceding the creation of “Anticipatory Repudiation,” the screenplay was not a work made for hire within the meaning of </w:t>
      </w:r>
      <w:bookmarkStart w:id="19" w:name="CITRUS_BOOKMARK1000000135"/>
      <w:r w:rsidR="00555C4C" w:rsidRPr="00277397">
        <w:t>17 U.S.C. § 101</w:t>
      </w:r>
      <w:bookmarkEnd w:id="19"/>
      <w:r w:rsidR="00555C4C" w:rsidRPr="00277397">
        <w:t xml:space="preserve">.  (Answer ¶ 3).  </w:t>
      </w:r>
      <w:r w:rsidR="00930938" w:rsidRPr="00277397">
        <w:t xml:space="preserve">Because the screenplay was not a work made for hire, Lime </w:t>
      </w:r>
      <w:r w:rsidR="00EF268A" w:rsidRPr="00277397">
        <w:t xml:space="preserve">contends that she </w:t>
      </w:r>
      <w:r w:rsidR="00930938" w:rsidRPr="00277397">
        <w:t>is the owner of the copyright to “Anticipatory Repudiation.”  (</w:t>
      </w:r>
      <w:bookmarkStart w:id="20" w:name="CITRUS_BOOKMARK1000000186"/>
      <w:r w:rsidR="00B8586E" w:rsidRPr="00277397">
        <w:rPr>
          <w:u w:val="single"/>
        </w:rPr>
        <w:t>Id</w:t>
      </w:r>
      <w:r w:rsidR="00B8586E" w:rsidRPr="00277397">
        <w:t>. ¶ 4</w:t>
      </w:r>
      <w:bookmarkEnd w:id="20"/>
      <w:r w:rsidR="00B8586E" w:rsidRPr="00277397">
        <w:t xml:space="preserve">).   </w:t>
      </w:r>
    </w:p>
    <w:p w14:paraId="186E317D" w14:textId="77777777" w:rsidR="000B2397" w:rsidRPr="00277397" w:rsidRDefault="000B2397" w:rsidP="00B8586E">
      <w:pPr>
        <w:spacing w:line="480" w:lineRule="auto"/>
        <w:jc w:val="center"/>
        <w:rPr>
          <w:u w:val="single"/>
        </w:rPr>
      </w:pPr>
      <w:r w:rsidRPr="00277397">
        <w:rPr>
          <w:u w:val="single"/>
        </w:rPr>
        <w:t>ARGUMENT</w:t>
      </w:r>
    </w:p>
    <w:p w14:paraId="566D4194" w14:textId="77777777" w:rsidR="00C37964" w:rsidRPr="00277397" w:rsidRDefault="007B5B8E" w:rsidP="00C37964">
      <w:pPr>
        <w:pStyle w:val="NoSpacing"/>
        <w:spacing w:line="480" w:lineRule="auto"/>
        <w:jc w:val="both"/>
        <w:rPr>
          <w:rFonts w:ascii="Times New Roman" w:hAnsi="Times New Roman" w:cs="Times New Roman"/>
          <w:sz w:val="24"/>
          <w:szCs w:val="24"/>
        </w:rPr>
      </w:pPr>
      <w:r w:rsidRPr="00277397">
        <w:rPr>
          <w:rFonts w:ascii="Times New Roman" w:hAnsi="Times New Roman" w:cs="Times New Roman"/>
          <w:sz w:val="24"/>
          <w:szCs w:val="24"/>
        </w:rPr>
        <w:tab/>
        <w:t xml:space="preserve">To successfully bring an action under </w:t>
      </w:r>
      <w:bookmarkStart w:id="21" w:name="CITRUS_BOOKMARK1000000076"/>
      <w:r w:rsidRPr="00277397">
        <w:rPr>
          <w:rFonts w:ascii="Times New Roman" w:hAnsi="Times New Roman" w:cs="Times New Roman"/>
          <w:sz w:val="24"/>
          <w:szCs w:val="24"/>
        </w:rPr>
        <w:t>17 U.S.C. §</w:t>
      </w:r>
      <w:r w:rsidR="004E3038" w:rsidRPr="00277397">
        <w:rPr>
          <w:rFonts w:ascii="Times New Roman" w:hAnsi="Times New Roman" w:cs="Times New Roman"/>
          <w:sz w:val="24"/>
          <w:szCs w:val="24"/>
        </w:rPr>
        <w:t xml:space="preserve"> </w:t>
      </w:r>
      <w:r w:rsidRPr="00277397">
        <w:rPr>
          <w:rFonts w:ascii="Times New Roman" w:hAnsi="Times New Roman" w:cs="Times New Roman"/>
          <w:sz w:val="24"/>
          <w:szCs w:val="24"/>
        </w:rPr>
        <w:t>101</w:t>
      </w:r>
      <w:bookmarkEnd w:id="21"/>
      <w:r w:rsidR="006B075E" w:rsidRPr="00277397">
        <w:rPr>
          <w:rFonts w:ascii="Times New Roman" w:hAnsi="Times New Roman" w:cs="Times New Roman"/>
          <w:sz w:val="24"/>
          <w:szCs w:val="24"/>
        </w:rPr>
        <w:t xml:space="preserve">, </w:t>
      </w:r>
      <w:r w:rsidR="00DE0090" w:rsidRPr="00277397">
        <w:rPr>
          <w:rFonts w:ascii="Times New Roman" w:hAnsi="Times New Roman" w:cs="Times New Roman"/>
          <w:sz w:val="24"/>
          <w:szCs w:val="24"/>
        </w:rPr>
        <w:t>OGS</w:t>
      </w:r>
      <w:r w:rsidR="006B075E" w:rsidRPr="00277397">
        <w:rPr>
          <w:rFonts w:ascii="Times New Roman" w:hAnsi="Times New Roman" w:cs="Times New Roman"/>
          <w:sz w:val="24"/>
          <w:szCs w:val="24"/>
        </w:rPr>
        <w:t xml:space="preserve"> must show that </w:t>
      </w:r>
      <w:r w:rsidR="00DE0090" w:rsidRPr="00277397">
        <w:rPr>
          <w:rFonts w:ascii="Times New Roman" w:hAnsi="Times New Roman" w:cs="Times New Roman"/>
          <w:sz w:val="24"/>
          <w:szCs w:val="24"/>
        </w:rPr>
        <w:t>both parties</w:t>
      </w:r>
      <w:r w:rsidR="006B075E" w:rsidRPr="00277397">
        <w:rPr>
          <w:rFonts w:ascii="Times New Roman" w:hAnsi="Times New Roman" w:cs="Times New Roman"/>
          <w:sz w:val="24"/>
          <w:szCs w:val="24"/>
        </w:rPr>
        <w:t xml:space="preserve"> agreed in writing that the screenplay, “Anticipatory Repudiation,” was “made for hire” pre</w:t>
      </w:r>
      <w:r w:rsidR="00877B1B" w:rsidRPr="00277397">
        <w:rPr>
          <w:rFonts w:ascii="Times New Roman" w:hAnsi="Times New Roman" w:cs="Times New Roman"/>
          <w:sz w:val="24"/>
          <w:szCs w:val="24"/>
        </w:rPr>
        <w:t xml:space="preserve">ceding the creation of the work.  </w:t>
      </w:r>
      <w:bookmarkStart w:id="22" w:name="CITRUS_BOOKMARK1000000077"/>
      <w:r w:rsidR="00877B1B" w:rsidRPr="003016B2">
        <w:rPr>
          <w:rFonts w:ascii="Times New Roman" w:hAnsi="Times New Roman" w:cs="Times New Roman"/>
          <w:sz w:val="24"/>
          <w:szCs w:val="24"/>
        </w:rPr>
        <w:t>17 U.S.C. §</w:t>
      </w:r>
      <w:r w:rsidR="004E3038" w:rsidRPr="003016B2">
        <w:rPr>
          <w:rFonts w:ascii="Times New Roman" w:hAnsi="Times New Roman" w:cs="Times New Roman"/>
          <w:sz w:val="24"/>
          <w:szCs w:val="24"/>
        </w:rPr>
        <w:t xml:space="preserve"> </w:t>
      </w:r>
      <w:r w:rsidR="00877B1B" w:rsidRPr="003016B2">
        <w:rPr>
          <w:rFonts w:ascii="Times New Roman" w:hAnsi="Times New Roman" w:cs="Times New Roman"/>
          <w:sz w:val="24"/>
          <w:szCs w:val="24"/>
        </w:rPr>
        <w:t>101</w:t>
      </w:r>
      <w:bookmarkEnd w:id="22"/>
      <w:r w:rsidR="00801AE7" w:rsidRPr="00277397">
        <w:rPr>
          <w:rFonts w:ascii="Times New Roman" w:hAnsi="Times New Roman" w:cs="Times New Roman"/>
          <w:sz w:val="24"/>
          <w:szCs w:val="24"/>
        </w:rPr>
        <w:t>.  The plain meaning of the Copyright Act, canons of statutory interpretation, the intent of Congress, and relevant case law demonstrate that because no written agreement existed between OGS and Lime preceding the creation of the work, Lime is the owner of the copyright</w:t>
      </w:r>
      <w:r w:rsidR="00E67516" w:rsidRPr="00277397">
        <w:rPr>
          <w:rFonts w:ascii="Times New Roman" w:hAnsi="Times New Roman" w:cs="Times New Roman"/>
          <w:sz w:val="24"/>
          <w:szCs w:val="24"/>
        </w:rPr>
        <w:t xml:space="preserve"> to “Anticipatory Repudiation.”  Lime</w:t>
      </w:r>
      <w:r w:rsidR="00D75756" w:rsidRPr="00277397">
        <w:rPr>
          <w:rFonts w:ascii="Times New Roman" w:hAnsi="Times New Roman" w:cs="Times New Roman"/>
          <w:sz w:val="24"/>
          <w:szCs w:val="24"/>
        </w:rPr>
        <w:t>’s ownership of</w:t>
      </w:r>
      <w:r w:rsidR="00E67516" w:rsidRPr="00277397">
        <w:rPr>
          <w:rFonts w:ascii="Times New Roman" w:hAnsi="Times New Roman" w:cs="Times New Roman"/>
          <w:sz w:val="24"/>
          <w:szCs w:val="24"/>
        </w:rPr>
        <w:t xml:space="preserve"> the copyrig</w:t>
      </w:r>
      <w:r w:rsidR="00D75756" w:rsidRPr="00277397">
        <w:rPr>
          <w:rFonts w:ascii="Times New Roman" w:hAnsi="Times New Roman" w:cs="Times New Roman"/>
          <w:sz w:val="24"/>
          <w:szCs w:val="24"/>
        </w:rPr>
        <w:t>ht to “Anticipatory Repudiation”</w:t>
      </w:r>
      <w:r w:rsidR="0080208F" w:rsidRPr="00277397">
        <w:rPr>
          <w:rFonts w:ascii="Times New Roman" w:hAnsi="Times New Roman" w:cs="Times New Roman"/>
          <w:sz w:val="24"/>
          <w:szCs w:val="24"/>
        </w:rPr>
        <w:t xml:space="preserve"> </w:t>
      </w:r>
      <w:r w:rsidR="00AE53F2" w:rsidRPr="00277397">
        <w:rPr>
          <w:rFonts w:ascii="Times New Roman" w:hAnsi="Times New Roman" w:cs="Times New Roman"/>
          <w:sz w:val="24"/>
          <w:szCs w:val="24"/>
        </w:rPr>
        <w:t>extinguishes</w:t>
      </w:r>
      <w:r w:rsidR="0080208F" w:rsidRPr="00277397">
        <w:rPr>
          <w:rFonts w:ascii="Times New Roman" w:hAnsi="Times New Roman" w:cs="Times New Roman"/>
          <w:sz w:val="24"/>
          <w:szCs w:val="24"/>
        </w:rPr>
        <w:t xml:space="preserve"> </w:t>
      </w:r>
      <w:r w:rsidR="0033126B" w:rsidRPr="00277397">
        <w:rPr>
          <w:rFonts w:ascii="Times New Roman" w:hAnsi="Times New Roman" w:cs="Times New Roman"/>
          <w:sz w:val="24"/>
          <w:szCs w:val="24"/>
        </w:rPr>
        <w:t>OGS</w:t>
      </w:r>
      <w:r w:rsidR="00D75756" w:rsidRPr="00277397">
        <w:rPr>
          <w:rFonts w:ascii="Times New Roman" w:hAnsi="Times New Roman" w:cs="Times New Roman"/>
          <w:sz w:val="24"/>
          <w:szCs w:val="24"/>
        </w:rPr>
        <w:t>’ complaint</w:t>
      </w:r>
      <w:r w:rsidR="0080208F" w:rsidRPr="00277397">
        <w:rPr>
          <w:rFonts w:ascii="Times New Roman" w:hAnsi="Times New Roman" w:cs="Times New Roman"/>
          <w:sz w:val="24"/>
          <w:szCs w:val="24"/>
        </w:rPr>
        <w:t>.</w:t>
      </w:r>
    </w:p>
    <w:p w14:paraId="3879BB4F" w14:textId="77777777" w:rsidR="00C01A17" w:rsidRPr="00277397" w:rsidRDefault="002951A6" w:rsidP="00C37964">
      <w:pPr>
        <w:pStyle w:val="NoSpacing"/>
        <w:numPr>
          <w:ilvl w:val="0"/>
          <w:numId w:val="32"/>
        </w:numPr>
        <w:jc w:val="both"/>
        <w:rPr>
          <w:rFonts w:ascii="Times New Roman" w:hAnsi="Times New Roman" w:cs="Times New Roman"/>
          <w:sz w:val="24"/>
          <w:szCs w:val="24"/>
        </w:rPr>
      </w:pPr>
      <w:r w:rsidRPr="00277397">
        <w:rPr>
          <w:rFonts w:ascii="Times New Roman" w:hAnsi="Times New Roman" w:cs="Times New Roman"/>
          <w:b/>
          <w:sz w:val="24"/>
          <w:szCs w:val="24"/>
        </w:rPr>
        <w:t>OG</w:t>
      </w:r>
      <w:r w:rsidR="00AE53F2">
        <w:rPr>
          <w:rFonts w:ascii="Times New Roman" w:hAnsi="Times New Roman" w:cs="Times New Roman"/>
          <w:b/>
          <w:sz w:val="24"/>
          <w:szCs w:val="24"/>
        </w:rPr>
        <w:t>S Has No Cause of Action Under T</w:t>
      </w:r>
      <w:r w:rsidRPr="00277397">
        <w:rPr>
          <w:rFonts w:ascii="Times New Roman" w:hAnsi="Times New Roman" w:cs="Times New Roman"/>
          <w:b/>
          <w:sz w:val="24"/>
          <w:szCs w:val="24"/>
        </w:rPr>
        <w:t>he Copyright Act Because the Statute</w:t>
      </w:r>
      <w:r w:rsidR="00806DA3">
        <w:rPr>
          <w:rFonts w:ascii="Times New Roman" w:hAnsi="Times New Roman" w:cs="Times New Roman"/>
          <w:b/>
          <w:sz w:val="24"/>
          <w:szCs w:val="24"/>
        </w:rPr>
        <w:t>, By i</w:t>
      </w:r>
      <w:r w:rsidR="00C01A17" w:rsidRPr="00277397">
        <w:rPr>
          <w:rFonts w:ascii="Times New Roman" w:hAnsi="Times New Roman" w:cs="Times New Roman"/>
          <w:b/>
          <w:sz w:val="24"/>
          <w:szCs w:val="24"/>
        </w:rPr>
        <w:t>ts Plain Language,</w:t>
      </w:r>
      <w:r w:rsidRPr="00277397">
        <w:rPr>
          <w:rFonts w:ascii="Times New Roman" w:hAnsi="Times New Roman" w:cs="Times New Roman"/>
          <w:b/>
          <w:sz w:val="24"/>
          <w:szCs w:val="24"/>
        </w:rPr>
        <w:t xml:space="preserve"> Requires a Written “Ma</w:t>
      </w:r>
      <w:r w:rsidR="0033126B" w:rsidRPr="00277397">
        <w:rPr>
          <w:rFonts w:ascii="Times New Roman" w:hAnsi="Times New Roman" w:cs="Times New Roman"/>
          <w:b/>
          <w:sz w:val="24"/>
          <w:szCs w:val="24"/>
        </w:rPr>
        <w:t>de for Hire” Agreement Precede</w:t>
      </w:r>
      <w:r w:rsidRPr="00277397">
        <w:rPr>
          <w:rFonts w:ascii="Times New Roman" w:hAnsi="Times New Roman" w:cs="Times New Roman"/>
          <w:b/>
          <w:sz w:val="24"/>
          <w:szCs w:val="24"/>
        </w:rPr>
        <w:t xml:space="preserve"> a Commissioned Work.</w:t>
      </w:r>
    </w:p>
    <w:p w14:paraId="311398CC" w14:textId="77777777" w:rsidR="00877B1B" w:rsidRPr="00277397" w:rsidRDefault="00877B1B" w:rsidP="00553B68">
      <w:pPr>
        <w:pStyle w:val="NoSpacing"/>
        <w:ind w:left="360"/>
        <w:jc w:val="both"/>
        <w:rPr>
          <w:rFonts w:ascii="Times New Roman" w:hAnsi="Times New Roman" w:cs="Times New Roman"/>
          <w:sz w:val="24"/>
          <w:szCs w:val="24"/>
        </w:rPr>
      </w:pPr>
    </w:p>
    <w:p w14:paraId="57D98E71" w14:textId="77777777" w:rsidR="00DC3394" w:rsidRDefault="00F77C59" w:rsidP="00DC3394">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The plain meaning of the Copyright Act</w:t>
      </w:r>
      <w:r w:rsidR="00EF154F" w:rsidRPr="00277397">
        <w:rPr>
          <w:rFonts w:ascii="Times New Roman" w:hAnsi="Times New Roman" w:cs="Times New Roman"/>
          <w:sz w:val="24"/>
          <w:szCs w:val="24"/>
        </w:rPr>
        <w:t xml:space="preserve"> </w:t>
      </w:r>
      <w:r w:rsidRPr="00277397">
        <w:rPr>
          <w:rFonts w:ascii="Times New Roman" w:hAnsi="Times New Roman" w:cs="Times New Roman"/>
          <w:sz w:val="24"/>
          <w:szCs w:val="24"/>
        </w:rPr>
        <w:t>requires that the writing precede the creation of the work.</w:t>
      </w:r>
      <w:r w:rsidR="00EF154F" w:rsidRPr="00277397">
        <w:rPr>
          <w:rFonts w:ascii="Times New Roman" w:hAnsi="Times New Roman" w:cs="Times New Roman"/>
          <w:sz w:val="24"/>
          <w:szCs w:val="24"/>
        </w:rPr>
        <w:t xml:space="preserve">  </w:t>
      </w:r>
      <w:r w:rsidRPr="00277397">
        <w:rPr>
          <w:rFonts w:ascii="Times New Roman" w:hAnsi="Times New Roman" w:cs="Times New Roman"/>
          <w:sz w:val="24"/>
          <w:szCs w:val="24"/>
        </w:rPr>
        <w:t>Because</w:t>
      </w:r>
      <w:r w:rsidR="00553B68" w:rsidRPr="00277397">
        <w:rPr>
          <w:rFonts w:ascii="Times New Roman" w:hAnsi="Times New Roman" w:cs="Times New Roman"/>
          <w:sz w:val="24"/>
          <w:szCs w:val="24"/>
        </w:rPr>
        <w:t xml:space="preserve"> the plain meaning of the</w:t>
      </w:r>
      <w:r w:rsidRPr="00277397">
        <w:rPr>
          <w:rFonts w:ascii="Times New Roman" w:hAnsi="Times New Roman" w:cs="Times New Roman"/>
          <w:sz w:val="24"/>
          <w:szCs w:val="24"/>
        </w:rPr>
        <w:t xml:space="preserve"> statute’s </w:t>
      </w:r>
      <w:r w:rsidR="00553B68" w:rsidRPr="00277397">
        <w:rPr>
          <w:rFonts w:ascii="Times New Roman" w:hAnsi="Times New Roman" w:cs="Times New Roman"/>
          <w:sz w:val="24"/>
          <w:szCs w:val="24"/>
        </w:rPr>
        <w:t>text</w:t>
      </w:r>
      <w:r w:rsidR="006E3890" w:rsidRPr="00277397">
        <w:rPr>
          <w:rFonts w:ascii="Times New Roman" w:hAnsi="Times New Roman" w:cs="Times New Roman"/>
          <w:sz w:val="24"/>
          <w:szCs w:val="24"/>
        </w:rPr>
        <w:t xml:space="preserve"> controls</w:t>
      </w:r>
      <w:r w:rsidR="008E3301" w:rsidRPr="00277397">
        <w:rPr>
          <w:rFonts w:ascii="Times New Roman" w:hAnsi="Times New Roman" w:cs="Times New Roman"/>
          <w:sz w:val="24"/>
          <w:szCs w:val="24"/>
        </w:rPr>
        <w:t xml:space="preserve"> its interpretation</w:t>
      </w:r>
      <w:r w:rsidRPr="00277397">
        <w:rPr>
          <w:rFonts w:ascii="Times New Roman" w:hAnsi="Times New Roman" w:cs="Times New Roman"/>
          <w:sz w:val="24"/>
          <w:szCs w:val="24"/>
        </w:rPr>
        <w:t xml:space="preserve">, </w:t>
      </w:r>
      <w:r w:rsidR="008E3301" w:rsidRPr="00277397">
        <w:rPr>
          <w:rFonts w:ascii="Times New Roman" w:hAnsi="Times New Roman" w:cs="Times New Roman"/>
          <w:sz w:val="24"/>
          <w:szCs w:val="24"/>
        </w:rPr>
        <w:t>an examination of the</w:t>
      </w:r>
      <w:r w:rsidR="004B11F7" w:rsidRPr="00277397">
        <w:rPr>
          <w:rFonts w:ascii="Times New Roman" w:hAnsi="Times New Roman" w:cs="Times New Roman"/>
          <w:sz w:val="24"/>
          <w:szCs w:val="24"/>
        </w:rPr>
        <w:t xml:space="preserve"> </w:t>
      </w:r>
      <w:r w:rsidR="008E3301" w:rsidRPr="00277397">
        <w:rPr>
          <w:rFonts w:ascii="Times New Roman" w:hAnsi="Times New Roman" w:cs="Times New Roman"/>
          <w:sz w:val="24"/>
          <w:szCs w:val="24"/>
        </w:rPr>
        <w:t xml:space="preserve">Copyright Act’s </w:t>
      </w:r>
      <w:r w:rsidR="004B11F7" w:rsidRPr="00277397">
        <w:rPr>
          <w:rFonts w:ascii="Times New Roman" w:hAnsi="Times New Roman" w:cs="Times New Roman"/>
          <w:sz w:val="24"/>
          <w:szCs w:val="24"/>
        </w:rPr>
        <w:t xml:space="preserve">critical </w:t>
      </w:r>
      <w:r w:rsidR="008E3301" w:rsidRPr="00277397">
        <w:rPr>
          <w:rFonts w:ascii="Times New Roman" w:hAnsi="Times New Roman" w:cs="Times New Roman"/>
          <w:sz w:val="24"/>
          <w:szCs w:val="24"/>
        </w:rPr>
        <w:t xml:space="preserve">text provides strong support for </w:t>
      </w:r>
      <w:r w:rsidR="0080208F" w:rsidRPr="00277397">
        <w:rPr>
          <w:rFonts w:ascii="Times New Roman" w:hAnsi="Times New Roman" w:cs="Times New Roman"/>
          <w:sz w:val="24"/>
          <w:szCs w:val="24"/>
        </w:rPr>
        <w:t xml:space="preserve">Lime’s ownership of </w:t>
      </w:r>
      <w:r w:rsidR="0033126B" w:rsidRPr="00277397">
        <w:rPr>
          <w:rFonts w:ascii="Times New Roman" w:hAnsi="Times New Roman" w:cs="Times New Roman"/>
          <w:sz w:val="24"/>
          <w:szCs w:val="24"/>
        </w:rPr>
        <w:t xml:space="preserve">“Anticipatory Repudiation.”  </w:t>
      </w:r>
      <w:r w:rsidR="00553B68" w:rsidRPr="00277397">
        <w:rPr>
          <w:rFonts w:ascii="Times New Roman" w:hAnsi="Times New Roman" w:cs="Times New Roman"/>
          <w:sz w:val="24"/>
          <w:szCs w:val="24"/>
        </w:rPr>
        <w:t xml:space="preserve"> </w:t>
      </w:r>
      <w:bookmarkStart w:id="23" w:name="CITRUS_BOOKMARK78"/>
      <w:r w:rsidR="00DF2B40" w:rsidRPr="00AE53F2">
        <w:rPr>
          <w:rFonts w:ascii="Times New Roman" w:hAnsi="Times New Roman" w:cs="Times New Roman"/>
          <w:sz w:val="24"/>
          <w:szCs w:val="24"/>
          <w:u w:val="single"/>
        </w:rPr>
        <w:t xml:space="preserve">Mass. v. </w:t>
      </w:r>
      <w:r w:rsidR="00DF2B40" w:rsidRPr="00C2432F">
        <w:rPr>
          <w:rFonts w:ascii="Times New Roman" w:hAnsi="Times New Roman" w:cs="Times New Roman"/>
          <w:sz w:val="24"/>
          <w:szCs w:val="24"/>
          <w:u w:val="single"/>
        </w:rPr>
        <w:t>EPA</w:t>
      </w:r>
      <w:r w:rsidR="00DF2B40" w:rsidRPr="00AE53F2">
        <w:rPr>
          <w:rFonts w:ascii="Times New Roman" w:hAnsi="Times New Roman" w:cs="Times New Roman"/>
          <w:sz w:val="24"/>
          <w:szCs w:val="24"/>
        </w:rPr>
        <w:t>, 549 U.S. 497, 528-35 (2007)</w:t>
      </w:r>
      <w:bookmarkEnd w:id="23"/>
      <w:r w:rsidR="00553B68" w:rsidRPr="00277397">
        <w:rPr>
          <w:rFonts w:ascii="Times New Roman" w:hAnsi="Times New Roman" w:cs="Times New Roman"/>
          <w:sz w:val="24"/>
          <w:szCs w:val="24"/>
        </w:rPr>
        <w:t>.</w:t>
      </w:r>
      <w:r w:rsidR="00FF478A" w:rsidRPr="00277397">
        <w:rPr>
          <w:rFonts w:ascii="Times New Roman" w:hAnsi="Times New Roman" w:cs="Times New Roman"/>
          <w:sz w:val="24"/>
          <w:szCs w:val="24"/>
        </w:rPr>
        <w:t xml:space="preserve"> </w:t>
      </w:r>
    </w:p>
    <w:p w14:paraId="503A7811" w14:textId="77777777" w:rsidR="00806DA3" w:rsidRPr="00AE53F2" w:rsidRDefault="00806DA3" w:rsidP="00AE53F2">
      <w:pPr>
        <w:pStyle w:val="NoSpacing"/>
        <w:numPr>
          <w:ilvl w:val="0"/>
          <w:numId w:val="43"/>
        </w:numPr>
        <w:jc w:val="both"/>
        <w:rPr>
          <w:rFonts w:ascii="Times New Roman" w:hAnsi="Times New Roman" w:cs="Times New Roman"/>
          <w:sz w:val="24"/>
          <w:szCs w:val="24"/>
        </w:rPr>
      </w:pPr>
      <w:r>
        <w:rPr>
          <w:rFonts w:ascii="Times New Roman" w:hAnsi="Times New Roman" w:cs="Times New Roman"/>
          <w:b/>
          <w:sz w:val="24"/>
          <w:szCs w:val="24"/>
        </w:rPr>
        <w:t>The Plain Language of “Shall” in</w:t>
      </w:r>
      <w:r w:rsidR="00FF478A" w:rsidRPr="00277397">
        <w:rPr>
          <w:rFonts w:ascii="Times New Roman" w:hAnsi="Times New Roman" w:cs="Times New Roman"/>
          <w:sz w:val="24"/>
          <w:szCs w:val="24"/>
        </w:rPr>
        <w:t xml:space="preserve"> </w:t>
      </w:r>
      <w:bookmarkStart w:id="24" w:name="CITRUS_BOOKMARK1000000158"/>
      <w:r w:rsidRPr="00285AE2">
        <w:rPr>
          <w:rFonts w:ascii="Times New Roman" w:hAnsi="Times New Roman" w:cs="Times New Roman"/>
          <w:b/>
          <w:sz w:val="24"/>
          <w:szCs w:val="24"/>
        </w:rPr>
        <w:t>17 U.S.C</w:t>
      </w:r>
      <w:r w:rsidR="00285AE2" w:rsidRPr="00285AE2">
        <w:rPr>
          <w:rFonts w:ascii="Times New Roman" w:hAnsi="Times New Roman" w:cs="Times New Roman"/>
          <w:b/>
          <w:sz w:val="24"/>
          <w:szCs w:val="24"/>
        </w:rPr>
        <w:t>.</w:t>
      </w:r>
      <w:r w:rsidRPr="00285AE2">
        <w:rPr>
          <w:rFonts w:ascii="Times New Roman" w:hAnsi="Times New Roman" w:cs="Times New Roman"/>
          <w:b/>
          <w:sz w:val="24"/>
          <w:szCs w:val="24"/>
        </w:rPr>
        <w:t xml:space="preserve"> §</w:t>
      </w:r>
      <w:bookmarkEnd w:id="24"/>
      <w:r w:rsidRPr="00806DA3">
        <w:rPr>
          <w:rFonts w:ascii="Times New Roman" w:hAnsi="Times New Roman" w:cs="Times New Roman"/>
          <w:b/>
          <w:sz w:val="24"/>
          <w:szCs w:val="24"/>
        </w:rPr>
        <w:t xml:space="preserve"> 101(2)</w:t>
      </w:r>
      <w:r>
        <w:rPr>
          <w:rFonts w:ascii="Times New Roman" w:hAnsi="Times New Roman" w:cs="Times New Roman"/>
          <w:b/>
          <w:sz w:val="24"/>
          <w:szCs w:val="24"/>
        </w:rPr>
        <w:t xml:space="preserve"> Mandates that a Written “Made for Hire” Agreement Precede a Commissioned Work.</w:t>
      </w:r>
    </w:p>
    <w:p w14:paraId="6E1CF70B" w14:textId="77777777" w:rsidR="00AE53F2" w:rsidRPr="00DC3394" w:rsidRDefault="00AE53F2" w:rsidP="00AE53F2">
      <w:pPr>
        <w:pStyle w:val="NoSpacing"/>
        <w:ind w:left="720"/>
        <w:jc w:val="both"/>
        <w:rPr>
          <w:rFonts w:ascii="Times New Roman" w:hAnsi="Times New Roman" w:cs="Times New Roman"/>
          <w:sz w:val="24"/>
          <w:szCs w:val="24"/>
        </w:rPr>
      </w:pPr>
    </w:p>
    <w:p w14:paraId="683E5D26" w14:textId="77777777" w:rsidR="00221B2A" w:rsidRPr="00277397" w:rsidRDefault="00610AF5" w:rsidP="00E67516">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 xml:space="preserve">Congress’ decision to use “shall” in </w:t>
      </w:r>
      <w:bookmarkStart w:id="25" w:name="CITRUS_BOOKMARK1000000136"/>
      <w:r w:rsidRPr="00285AE2">
        <w:rPr>
          <w:rFonts w:ascii="Times New Roman" w:hAnsi="Times New Roman" w:cs="Times New Roman"/>
          <w:sz w:val="24"/>
          <w:szCs w:val="24"/>
        </w:rPr>
        <w:t>17 U.S.C</w:t>
      </w:r>
      <w:r w:rsidR="00285AE2" w:rsidRPr="00285AE2">
        <w:rPr>
          <w:rFonts w:ascii="Times New Roman" w:hAnsi="Times New Roman" w:cs="Times New Roman"/>
          <w:sz w:val="24"/>
          <w:szCs w:val="24"/>
        </w:rPr>
        <w:t>.</w:t>
      </w:r>
      <w:r w:rsidRPr="00285AE2">
        <w:rPr>
          <w:rFonts w:ascii="Times New Roman" w:hAnsi="Times New Roman" w:cs="Times New Roman"/>
          <w:sz w:val="24"/>
          <w:szCs w:val="24"/>
        </w:rPr>
        <w:t xml:space="preserve"> §</w:t>
      </w:r>
      <w:bookmarkEnd w:id="25"/>
      <w:r w:rsidRPr="00277397">
        <w:rPr>
          <w:rFonts w:ascii="Times New Roman" w:hAnsi="Times New Roman" w:cs="Times New Roman"/>
          <w:sz w:val="24"/>
          <w:szCs w:val="24"/>
        </w:rPr>
        <w:t xml:space="preserve"> 101(2) paired with the presumption against </w:t>
      </w:r>
      <w:r w:rsidR="00DD2196" w:rsidRPr="00277397">
        <w:rPr>
          <w:rFonts w:ascii="Times New Roman" w:hAnsi="Times New Roman" w:cs="Times New Roman"/>
          <w:sz w:val="24"/>
          <w:szCs w:val="24"/>
        </w:rPr>
        <w:t>surplusage</w:t>
      </w:r>
      <w:r w:rsidR="00221B2A" w:rsidRPr="00277397">
        <w:rPr>
          <w:rFonts w:ascii="Times New Roman" w:hAnsi="Times New Roman" w:cs="Times New Roman"/>
          <w:sz w:val="24"/>
          <w:szCs w:val="24"/>
        </w:rPr>
        <w:t xml:space="preserve"> make</w:t>
      </w:r>
      <w:r w:rsidR="0080208F" w:rsidRPr="00277397">
        <w:rPr>
          <w:rFonts w:ascii="Times New Roman" w:hAnsi="Times New Roman" w:cs="Times New Roman"/>
          <w:sz w:val="24"/>
          <w:szCs w:val="24"/>
        </w:rPr>
        <w:t xml:space="preserve"> </w:t>
      </w:r>
      <w:r w:rsidR="00221B2A" w:rsidRPr="00277397">
        <w:rPr>
          <w:rFonts w:ascii="Times New Roman" w:hAnsi="Times New Roman" w:cs="Times New Roman"/>
          <w:sz w:val="24"/>
          <w:szCs w:val="24"/>
        </w:rPr>
        <w:t>clear that Congress requires that</w:t>
      </w:r>
      <w:r w:rsidR="0080208F" w:rsidRPr="00277397">
        <w:rPr>
          <w:rFonts w:ascii="Times New Roman" w:hAnsi="Times New Roman" w:cs="Times New Roman"/>
          <w:sz w:val="24"/>
          <w:szCs w:val="24"/>
        </w:rPr>
        <w:t xml:space="preserve"> a</w:t>
      </w:r>
      <w:r w:rsidR="00221B2A" w:rsidRPr="00277397">
        <w:rPr>
          <w:rFonts w:ascii="Times New Roman" w:hAnsi="Times New Roman" w:cs="Times New Roman"/>
          <w:sz w:val="24"/>
          <w:szCs w:val="24"/>
        </w:rPr>
        <w:t xml:space="preserve"> written “Made for Hire” agreement precede the commissioned work</w:t>
      </w:r>
      <w:r w:rsidRPr="00277397">
        <w:rPr>
          <w:rFonts w:ascii="Times New Roman" w:hAnsi="Times New Roman" w:cs="Times New Roman"/>
          <w:sz w:val="24"/>
          <w:szCs w:val="24"/>
        </w:rPr>
        <w:t xml:space="preserve">.  </w:t>
      </w:r>
      <w:r w:rsidR="00221B2A" w:rsidRPr="00277397">
        <w:rPr>
          <w:rFonts w:ascii="Times New Roman" w:hAnsi="Times New Roman" w:cs="Times New Roman"/>
          <w:sz w:val="24"/>
          <w:szCs w:val="24"/>
        </w:rPr>
        <w:t>Congress dictated that</w:t>
      </w:r>
      <w:r w:rsidR="00EF154F" w:rsidRPr="00277397">
        <w:rPr>
          <w:rFonts w:ascii="Times New Roman" w:hAnsi="Times New Roman" w:cs="Times New Roman"/>
          <w:sz w:val="24"/>
          <w:szCs w:val="24"/>
        </w:rPr>
        <w:t xml:space="preserve"> one requirement for a </w:t>
      </w:r>
      <w:r w:rsidR="00BA163F" w:rsidRPr="00277397">
        <w:rPr>
          <w:rFonts w:ascii="Times New Roman" w:hAnsi="Times New Roman" w:cs="Times New Roman"/>
          <w:sz w:val="24"/>
          <w:szCs w:val="24"/>
        </w:rPr>
        <w:t xml:space="preserve">commissioned </w:t>
      </w:r>
      <w:r w:rsidR="00EF154F" w:rsidRPr="00277397">
        <w:rPr>
          <w:rFonts w:ascii="Times New Roman" w:hAnsi="Times New Roman" w:cs="Times New Roman"/>
          <w:sz w:val="24"/>
          <w:szCs w:val="24"/>
        </w:rPr>
        <w:lastRenderedPageBreak/>
        <w:t xml:space="preserve">work to be “made for hire” is that “the parties expressly agree in a written instrument signed by </w:t>
      </w:r>
      <w:r w:rsidR="0080208F" w:rsidRPr="00277397">
        <w:rPr>
          <w:rFonts w:ascii="Times New Roman" w:hAnsi="Times New Roman" w:cs="Times New Roman"/>
          <w:sz w:val="24"/>
          <w:szCs w:val="24"/>
        </w:rPr>
        <w:t>both parties</w:t>
      </w:r>
      <w:r w:rsidR="00EF154F" w:rsidRPr="00277397">
        <w:rPr>
          <w:rFonts w:ascii="Times New Roman" w:hAnsi="Times New Roman" w:cs="Times New Roman"/>
          <w:sz w:val="24"/>
          <w:szCs w:val="24"/>
        </w:rPr>
        <w:t xml:space="preserve"> that the work shall be considered a work made for hire.”</w:t>
      </w:r>
      <w:r w:rsidR="00221B2A" w:rsidRPr="00277397">
        <w:rPr>
          <w:rFonts w:ascii="Times New Roman" w:hAnsi="Times New Roman" w:cs="Times New Roman"/>
          <w:sz w:val="24"/>
          <w:szCs w:val="24"/>
        </w:rPr>
        <w:t xml:space="preserve"> </w:t>
      </w:r>
      <w:r w:rsidR="00EF154F" w:rsidRPr="00277397">
        <w:rPr>
          <w:rFonts w:ascii="Times New Roman" w:hAnsi="Times New Roman" w:cs="Times New Roman"/>
          <w:sz w:val="24"/>
          <w:szCs w:val="24"/>
        </w:rPr>
        <w:t xml:space="preserve"> </w:t>
      </w:r>
      <w:bookmarkStart w:id="26" w:name="CITRUS_BOOKMARK1000000081"/>
      <w:r w:rsidR="00EF154F" w:rsidRPr="00FD2AF4">
        <w:rPr>
          <w:rFonts w:ascii="Times New Roman" w:hAnsi="Times New Roman" w:cs="Times New Roman"/>
          <w:sz w:val="24"/>
          <w:szCs w:val="24"/>
        </w:rPr>
        <w:t>17 U.S.C</w:t>
      </w:r>
      <w:r w:rsidR="00285AE2" w:rsidRPr="00FD2AF4">
        <w:rPr>
          <w:rFonts w:ascii="Times New Roman" w:hAnsi="Times New Roman" w:cs="Times New Roman"/>
          <w:sz w:val="24"/>
          <w:szCs w:val="24"/>
        </w:rPr>
        <w:t>.</w:t>
      </w:r>
      <w:r w:rsidR="00EF154F" w:rsidRPr="00FD2AF4">
        <w:rPr>
          <w:rFonts w:ascii="Times New Roman" w:hAnsi="Times New Roman" w:cs="Times New Roman"/>
          <w:sz w:val="24"/>
          <w:szCs w:val="24"/>
        </w:rPr>
        <w:t xml:space="preserve"> §</w:t>
      </w:r>
      <w:r w:rsidR="00DF2B40" w:rsidRPr="00FD2AF4">
        <w:rPr>
          <w:rFonts w:ascii="Times New Roman" w:hAnsi="Times New Roman" w:cs="Times New Roman"/>
          <w:sz w:val="24"/>
          <w:szCs w:val="24"/>
        </w:rPr>
        <w:t xml:space="preserve"> </w:t>
      </w:r>
      <w:r w:rsidR="00EF154F" w:rsidRPr="00FD2AF4">
        <w:rPr>
          <w:rFonts w:ascii="Times New Roman" w:hAnsi="Times New Roman" w:cs="Times New Roman"/>
          <w:sz w:val="24"/>
          <w:szCs w:val="24"/>
        </w:rPr>
        <w:t>101(2)</w:t>
      </w:r>
      <w:bookmarkEnd w:id="26"/>
      <w:r w:rsidR="00221B2A" w:rsidRPr="00277397">
        <w:rPr>
          <w:rFonts w:ascii="Times New Roman" w:hAnsi="Times New Roman" w:cs="Times New Roman"/>
          <w:sz w:val="24"/>
          <w:szCs w:val="24"/>
        </w:rPr>
        <w:t xml:space="preserve">.  Both OGS and Lime rely on this statement, but the statute only supports Lime’s argument that the written agreement must precede the commissioned work.  </w:t>
      </w:r>
    </w:p>
    <w:p w14:paraId="3B887A42" w14:textId="77777777" w:rsidR="00BD1858" w:rsidRPr="00277397" w:rsidRDefault="00221B2A" w:rsidP="00AD2199">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Because</w:t>
      </w:r>
      <w:r w:rsidR="00EF154F" w:rsidRPr="00277397">
        <w:rPr>
          <w:rFonts w:ascii="Times New Roman" w:hAnsi="Times New Roman" w:cs="Times New Roman"/>
          <w:sz w:val="24"/>
          <w:szCs w:val="24"/>
        </w:rPr>
        <w:t xml:space="preserve"> Congress does not provide a definition</w:t>
      </w:r>
      <w:r w:rsidRPr="00277397">
        <w:rPr>
          <w:rFonts w:ascii="Times New Roman" w:hAnsi="Times New Roman" w:cs="Times New Roman"/>
          <w:sz w:val="24"/>
          <w:szCs w:val="24"/>
        </w:rPr>
        <w:t xml:space="preserve"> for each</w:t>
      </w:r>
      <w:r w:rsidR="00CB3314" w:rsidRPr="00277397">
        <w:rPr>
          <w:rFonts w:ascii="Times New Roman" w:hAnsi="Times New Roman" w:cs="Times New Roman"/>
          <w:sz w:val="24"/>
          <w:szCs w:val="24"/>
        </w:rPr>
        <w:t xml:space="preserve"> </w:t>
      </w:r>
      <w:r w:rsidR="004B11F7" w:rsidRPr="00277397">
        <w:rPr>
          <w:rFonts w:ascii="Times New Roman" w:hAnsi="Times New Roman" w:cs="Times New Roman"/>
          <w:sz w:val="24"/>
          <w:szCs w:val="24"/>
        </w:rPr>
        <w:t>term</w:t>
      </w:r>
      <w:r w:rsidR="00EF154F" w:rsidRPr="00277397">
        <w:rPr>
          <w:rFonts w:ascii="Times New Roman" w:hAnsi="Times New Roman" w:cs="Times New Roman"/>
          <w:sz w:val="24"/>
          <w:szCs w:val="24"/>
        </w:rPr>
        <w:t xml:space="preserve"> in the statute, </w:t>
      </w:r>
      <w:r w:rsidRPr="00277397">
        <w:rPr>
          <w:rFonts w:ascii="Times New Roman" w:hAnsi="Times New Roman" w:cs="Times New Roman"/>
          <w:sz w:val="24"/>
          <w:szCs w:val="24"/>
        </w:rPr>
        <w:t xml:space="preserve">the </w:t>
      </w:r>
      <w:r w:rsidR="00CB3314" w:rsidRPr="00277397">
        <w:rPr>
          <w:rFonts w:ascii="Times New Roman" w:hAnsi="Times New Roman" w:cs="Times New Roman"/>
          <w:sz w:val="24"/>
          <w:szCs w:val="24"/>
        </w:rPr>
        <w:t>word</w:t>
      </w:r>
      <w:r w:rsidRPr="00277397">
        <w:rPr>
          <w:rFonts w:ascii="Times New Roman" w:hAnsi="Times New Roman" w:cs="Times New Roman"/>
          <w:sz w:val="24"/>
          <w:szCs w:val="24"/>
        </w:rPr>
        <w:t>s</w:t>
      </w:r>
      <w:r w:rsidR="00CB3314" w:rsidRPr="00277397">
        <w:rPr>
          <w:rFonts w:ascii="Times New Roman" w:hAnsi="Times New Roman" w:cs="Times New Roman"/>
          <w:sz w:val="24"/>
          <w:szCs w:val="24"/>
        </w:rPr>
        <w:t xml:space="preserve"> should be</w:t>
      </w:r>
      <w:r w:rsidR="00FF478A" w:rsidRPr="00277397">
        <w:rPr>
          <w:rFonts w:ascii="Times New Roman" w:hAnsi="Times New Roman" w:cs="Times New Roman"/>
          <w:sz w:val="24"/>
          <w:szCs w:val="24"/>
        </w:rPr>
        <w:t xml:space="preserve"> understood </w:t>
      </w:r>
      <w:r w:rsidR="00EF154F" w:rsidRPr="00277397">
        <w:rPr>
          <w:rFonts w:ascii="Times New Roman" w:hAnsi="Times New Roman" w:cs="Times New Roman"/>
          <w:sz w:val="24"/>
          <w:szCs w:val="24"/>
        </w:rPr>
        <w:t>by</w:t>
      </w:r>
      <w:r w:rsidR="00FF478A" w:rsidRPr="00277397">
        <w:rPr>
          <w:rFonts w:ascii="Times New Roman" w:hAnsi="Times New Roman" w:cs="Times New Roman"/>
          <w:sz w:val="24"/>
          <w:szCs w:val="24"/>
        </w:rPr>
        <w:t xml:space="preserve"> </w:t>
      </w:r>
      <w:r w:rsidRPr="00277397">
        <w:rPr>
          <w:rFonts w:ascii="Times New Roman" w:hAnsi="Times New Roman" w:cs="Times New Roman"/>
          <w:sz w:val="24"/>
          <w:szCs w:val="24"/>
        </w:rPr>
        <w:t>their</w:t>
      </w:r>
      <w:r w:rsidR="00EF154F" w:rsidRPr="00277397">
        <w:rPr>
          <w:rFonts w:ascii="Times New Roman" w:hAnsi="Times New Roman" w:cs="Times New Roman"/>
          <w:sz w:val="24"/>
          <w:szCs w:val="24"/>
        </w:rPr>
        <w:t xml:space="preserve"> ordinary usage</w:t>
      </w:r>
      <w:r w:rsidR="00CB3314" w:rsidRPr="00277397">
        <w:rPr>
          <w:rFonts w:ascii="Times New Roman" w:hAnsi="Times New Roman" w:cs="Times New Roman"/>
          <w:sz w:val="24"/>
          <w:szCs w:val="24"/>
        </w:rPr>
        <w:t xml:space="preserve"> and may be defined using a </w:t>
      </w:r>
      <w:bookmarkStart w:id="27" w:name="Ignore_This_381"/>
      <w:r w:rsidR="00CB3314" w:rsidRPr="00277397">
        <w:rPr>
          <w:rFonts w:ascii="Times New Roman" w:hAnsi="Times New Roman" w:cs="Times New Roman"/>
          <w:sz w:val="24"/>
          <w:szCs w:val="24"/>
        </w:rPr>
        <w:t>dictionary</w:t>
      </w:r>
      <w:r w:rsidR="00EF154F" w:rsidRPr="00277397">
        <w:rPr>
          <w:rFonts w:ascii="Times New Roman" w:hAnsi="Times New Roman" w:cs="Times New Roman"/>
          <w:sz w:val="24"/>
          <w:szCs w:val="24"/>
        </w:rPr>
        <w:t xml:space="preserve">. </w:t>
      </w:r>
      <w:bookmarkEnd w:id="27"/>
      <w:r w:rsidR="00EF154F" w:rsidRPr="00277397">
        <w:rPr>
          <w:rFonts w:ascii="Times New Roman" w:hAnsi="Times New Roman" w:cs="Times New Roman"/>
          <w:sz w:val="24"/>
          <w:szCs w:val="24"/>
        </w:rPr>
        <w:t xml:space="preserve"> </w:t>
      </w:r>
      <w:bookmarkStart w:id="28" w:name="CITRUS_BOOKMARK82"/>
      <w:r w:rsidR="00BA163F" w:rsidRPr="00FD2AF4">
        <w:rPr>
          <w:rFonts w:ascii="Times New Roman" w:hAnsi="Times New Roman" w:cs="Times New Roman"/>
          <w:sz w:val="24"/>
          <w:szCs w:val="24"/>
          <w:u w:val="single"/>
        </w:rPr>
        <w:t xml:space="preserve">Perrin v. </w:t>
      </w:r>
      <w:r w:rsidR="00BA163F" w:rsidRPr="00C2432F">
        <w:rPr>
          <w:rFonts w:ascii="Times New Roman" w:hAnsi="Times New Roman" w:cs="Times New Roman"/>
          <w:sz w:val="24"/>
          <w:szCs w:val="24"/>
          <w:u w:val="single"/>
        </w:rPr>
        <w:t>United States</w:t>
      </w:r>
      <w:r w:rsidR="00BA163F" w:rsidRPr="00FD2AF4">
        <w:rPr>
          <w:rFonts w:ascii="Times New Roman" w:hAnsi="Times New Roman" w:cs="Times New Roman"/>
          <w:sz w:val="24"/>
          <w:szCs w:val="24"/>
        </w:rPr>
        <w:t>, 444 U.S. 37, 42 (1979)</w:t>
      </w:r>
      <w:bookmarkEnd w:id="28"/>
      <w:r w:rsidR="00AD2199" w:rsidRPr="00277397">
        <w:rPr>
          <w:rFonts w:ascii="Times New Roman" w:hAnsi="Times New Roman" w:cs="Times New Roman"/>
          <w:sz w:val="24"/>
          <w:szCs w:val="24"/>
        </w:rPr>
        <w:t xml:space="preserve">; </w:t>
      </w:r>
      <w:bookmarkStart w:id="29" w:name="CITRUS_BOOKMARK1000000187"/>
      <w:r w:rsidR="00AD2199" w:rsidRPr="00FD2AF4">
        <w:rPr>
          <w:rFonts w:ascii="Times New Roman" w:hAnsi="Times New Roman" w:cs="Times New Roman"/>
          <w:i/>
          <w:sz w:val="24"/>
          <w:szCs w:val="24"/>
        </w:rPr>
        <w:t>see also</w:t>
      </w:r>
      <w:r w:rsidR="00AD2199" w:rsidRPr="00FD2AF4">
        <w:rPr>
          <w:rFonts w:ascii="Times New Roman" w:hAnsi="Times New Roman" w:cs="Times New Roman"/>
          <w:sz w:val="24"/>
          <w:szCs w:val="24"/>
        </w:rPr>
        <w:t xml:space="preserve"> </w:t>
      </w:r>
      <w:r w:rsidR="00AD2199" w:rsidRPr="00FD2AF4">
        <w:rPr>
          <w:rFonts w:ascii="Times New Roman" w:hAnsi="Times New Roman" w:cs="Times New Roman"/>
          <w:sz w:val="24"/>
          <w:szCs w:val="24"/>
          <w:u w:val="single"/>
        </w:rPr>
        <w:t>Bilski v. Kappos</w:t>
      </w:r>
      <w:r w:rsidR="00AD2199" w:rsidRPr="00FD2AF4">
        <w:rPr>
          <w:rFonts w:ascii="Times New Roman" w:hAnsi="Times New Roman" w:cs="Times New Roman"/>
          <w:sz w:val="24"/>
          <w:szCs w:val="24"/>
        </w:rPr>
        <w:t>, 130 U.S. 3218, 3226 (2010)</w:t>
      </w:r>
      <w:bookmarkEnd w:id="29"/>
      <w:r w:rsidR="00CB3314" w:rsidRPr="00277397">
        <w:rPr>
          <w:rFonts w:ascii="Times New Roman" w:hAnsi="Times New Roman" w:cs="Times New Roman"/>
          <w:b/>
          <w:sz w:val="24"/>
          <w:szCs w:val="24"/>
        </w:rPr>
        <w:t xml:space="preserve">.  </w:t>
      </w:r>
      <w:r w:rsidR="004B11F7" w:rsidRPr="00277397">
        <w:rPr>
          <w:rFonts w:ascii="Times New Roman" w:hAnsi="Times New Roman" w:cs="Times New Roman"/>
          <w:sz w:val="24"/>
          <w:szCs w:val="24"/>
        </w:rPr>
        <w:t>One</w:t>
      </w:r>
      <w:r w:rsidR="001C6CF0" w:rsidRPr="00277397">
        <w:rPr>
          <w:rFonts w:ascii="Times New Roman" w:hAnsi="Times New Roman" w:cs="Times New Roman"/>
          <w:sz w:val="24"/>
          <w:szCs w:val="24"/>
        </w:rPr>
        <w:t xml:space="preserve"> critical word in the text is “shall” because is indicates when the written instrument m</w:t>
      </w:r>
      <w:r w:rsidR="00BA163F" w:rsidRPr="00277397">
        <w:rPr>
          <w:rFonts w:ascii="Times New Roman" w:hAnsi="Times New Roman" w:cs="Times New Roman"/>
          <w:sz w:val="24"/>
          <w:szCs w:val="24"/>
        </w:rPr>
        <w:t xml:space="preserve">ust be signed by both parties.  </w:t>
      </w:r>
      <w:r w:rsidR="00CB3314" w:rsidRPr="00277397">
        <w:rPr>
          <w:rFonts w:ascii="Times New Roman" w:hAnsi="Times New Roman" w:cs="Times New Roman"/>
          <w:sz w:val="24"/>
          <w:szCs w:val="24"/>
        </w:rPr>
        <w:t>The dictionary defines “shall” most simply as “must” and states that “shall” is used</w:t>
      </w:r>
      <w:r w:rsidR="002941C7" w:rsidRPr="00277397">
        <w:rPr>
          <w:rFonts w:ascii="Times New Roman" w:hAnsi="Times New Roman" w:cs="Times New Roman"/>
          <w:sz w:val="24"/>
          <w:szCs w:val="24"/>
        </w:rPr>
        <w:t xml:space="preserve"> to “express simply futurity.”  </w:t>
      </w:r>
      <w:r w:rsidR="00F71A58" w:rsidRPr="00DC3394">
        <w:rPr>
          <w:rFonts w:ascii="Times New Roman" w:hAnsi="Times New Roman" w:cs="Times New Roman"/>
          <w:sz w:val="24"/>
          <w:szCs w:val="24"/>
          <w:u w:val="single"/>
        </w:rPr>
        <w:t xml:space="preserve">Merriam-Webster </w:t>
      </w:r>
      <w:bookmarkStart w:id="30" w:name="CITRUS_BOOKMARK1000000097"/>
      <w:r w:rsidR="00F71A58" w:rsidRPr="00DC3394">
        <w:rPr>
          <w:rFonts w:ascii="Times New Roman" w:hAnsi="Times New Roman" w:cs="Times New Roman"/>
          <w:sz w:val="24"/>
          <w:szCs w:val="24"/>
          <w:u w:val="single"/>
        </w:rPr>
        <w:t>Dictionary</w:t>
      </w:r>
      <w:r w:rsidR="00F71A58" w:rsidRPr="00DC3394">
        <w:rPr>
          <w:rFonts w:ascii="Times New Roman" w:hAnsi="Times New Roman" w:cs="Times New Roman"/>
          <w:sz w:val="24"/>
          <w:szCs w:val="24"/>
        </w:rPr>
        <w:t xml:space="preserve"> (2012)</w:t>
      </w:r>
      <w:bookmarkEnd w:id="30"/>
      <w:r w:rsidR="00F71A58" w:rsidRPr="00DC3394">
        <w:rPr>
          <w:rFonts w:ascii="Times New Roman" w:hAnsi="Times New Roman" w:cs="Times New Roman"/>
          <w:sz w:val="24"/>
          <w:szCs w:val="24"/>
        </w:rPr>
        <w:t>.</w:t>
      </w:r>
      <w:r w:rsidR="00F71A58" w:rsidRPr="00277397">
        <w:rPr>
          <w:rFonts w:ascii="Times New Roman" w:hAnsi="Times New Roman" w:cs="Times New Roman"/>
          <w:sz w:val="24"/>
          <w:szCs w:val="24"/>
        </w:rPr>
        <w:t xml:space="preserve">  </w:t>
      </w:r>
      <w:r w:rsidR="002941C7" w:rsidRPr="00277397">
        <w:rPr>
          <w:rFonts w:ascii="Times New Roman" w:hAnsi="Times New Roman" w:cs="Times New Roman"/>
          <w:sz w:val="24"/>
          <w:szCs w:val="24"/>
        </w:rPr>
        <w:t>After</w:t>
      </w:r>
      <w:r w:rsidR="00603624" w:rsidRPr="00277397">
        <w:rPr>
          <w:rFonts w:ascii="Times New Roman" w:hAnsi="Times New Roman" w:cs="Times New Roman"/>
          <w:sz w:val="24"/>
          <w:szCs w:val="24"/>
        </w:rPr>
        <w:t xml:space="preserve"> </w:t>
      </w:r>
      <w:r w:rsidR="002941C7" w:rsidRPr="00277397">
        <w:rPr>
          <w:rFonts w:ascii="Times New Roman" w:hAnsi="Times New Roman" w:cs="Times New Roman"/>
          <w:sz w:val="24"/>
          <w:szCs w:val="24"/>
        </w:rPr>
        <w:t>applying</w:t>
      </w:r>
      <w:r w:rsidR="004B11F7" w:rsidRPr="00277397">
        <w:rPr>
          <w:rFonts w:ascii="Times New Roman" w:hAnsi="Times New Roman" w:cs="Times New Roman"/>
          <w:sz w:val="24"/>
          <w:szCs w:val="24"/>
        </w:rPr>
        <w:t xml:space="preserve"> the</w:t>
      </w:r>
      <w:r w:rsidR="00603624" w:rsidRPr="00277397">
        <w:rPr>
          <w:rFonts w:ascii="Times New Roman" w:hAnsi="Times New Roman" w:cs="Times New Roman"/>
          <w:sz w:val="24"/>
          <w:szCs w:val="24"/>
        </w:rPr>
        <w:t xml:space="preserve"> dictionary definition of “shall</w:t>
      </w:r>
      <w:r w:rsidR="003B2E7E" w:rsidRPr="00277397">
        <w:rPr>
          <w:rFonts w:ascii="Times New Roman" w:hAnsi="Times New Roman" w:cs="Times New Roman"/>
          <w:sz w:val="24"/>
          <w:szCs w:val="24"/>
        </w:rPr>
        <w:t>”</w:t>
      </w:r>
      <w:r w:rsidR="002941C7" w:rsidRPr="00277397">
        <w:rPr>
          <w:rFonts w:ascii="Times New Roman" w:hAnsi="Times New Roman" w:cs="Times New Roman"/>
          <w:sz w:val="24"/>
          <w:szCs w:val="24"/>
        </w:rPr>
        <w:t xml:space="preserve"> to</w:t>
      </w:r>
      <w:r w:rsidR="00603624" w:rsidRPr="00277397">
        <w:rPr>
          <w:rFonts w:ascii="Times New Roman" w:hAnsi="Times New Roman" w:cs="Times New Roman"/>
          <w:sz w:val="24"/>
          <w:szCs w:val="24"/>
        </w:rPr>
        <w:t xml:space="preserve"> t</w:t>
      </w:r>
      <w:r w:rsidR="00277213" w:rsidRPr="00277397">
        <w:rPr>
          <w:rFonts w:ascii="Times New Roman" w:hAnsi="Times New Roman" w:cs="Times New Roman"/>
          <w:sz w:val="24"/>
          <w:szCs w:val="24"/>
        </w:rPr>
        <w:t xml:space="preserve">he </w:t>
      </w:r>
      <w:r w:rsidR="003B2E7E" w:rsidRPr="00277397">
        <w:rPr>
          <w:rFonts w:ascii="Times New Roman" w:hAnsi="Times New Roman" w:cs="Times New Roman"/>
          <w:sz w:val="24"/>
          <w:szCs w:val="24"/>
        </w:rPr>
        <w:t>statute</w:t>
      </w:r>
      <w:r w:rsidR="002941C7" w:rsidRPr="00277397">
        <w:rPr>
          <w:rFonts w:ascii="Times New Roman" w:hAnsi="Times New Roman" w:cs="Times New Roman"/>
          <w:sz w:val="24"/>
          <w:szCs w:val="24"/>
        </w:rPr>
        <w:t>, it is clear that the statute</w:t>
      </w:r>
      <w:r w:rsidR="00277213" w:rsidRPr="00277397">
        <w:rPr>
          <w:rFonts w:ascii="Times New Roman" w:hAnsi="Times New Roman" w:cs="Times New Roman"/>
          <w:sz w:val="24"/>
          <w:szCs w:val="24"/>
        </w:rPr>
        <w:t xml:space="preserve"> </w:t>
      </w:r>
      <w:r w:rsidR="002941C7" w:rsidRPr="00277397">
        <w:rPr>
          <w:rFonts w:ascii="Times New Roman" w:hAnsi="Times New Roman" w:cs="Times New Roman"/>
          <w:sz w:val="24"/>
          <w:szCs w:val="24"/>
        </w:rPr>
        <w:t>mandates</w:t>
      </w:r>
      <w:r w:rsidR="00277213" w:rsidRPr="00277397">
        <w:rPr>
          <w:rFonts w:ascii="Times New Roman" w:hAnsi="Times New Roman" w:cs="Times New Roman"/>
          <w:sz w:val="24"/>
          <w:szCs w:val="24"/>
        </w:rPr>
        <w:t xml:space="preserve"> written agreement in reference to a future work.</w:t>
      </w:r>
      <w:r w:rsidR="00BA163F" w:rsidRPr="00277397">
        <w:rPr>
          <w:rFonts w:ascii="Times New Roman" w:hAnsi="Times New Roman" w:cs="Times New Roman"/>
          <w:sz w:val="24"/>
          <w:szCs w:val="24"/>
        </w:rPr>
        <w:t xml:space="preserve">  The Supreme Court of th</w:t>
      </w:r>
      <w:r w:rsidR="00AE53F2">
        <w:rPr>
          <w:rFonts w:ascii="Times New Roman" w:hAnsi="Times New Roman" w:cs="Times New Roman"/>
          <w:sz w:val="24"/>
          <w:szCs w:val="24"/>
        </w:rPr>
        <w:t>e United States also interprets</w:t>
      </w:r>
      <w:r w:rsidR="00BA163F" w:rsidRPr="00277397">
        <w:rPr>
          <w:rFonts w:ascii="Times New Roman" w:hAnsi="Times New Roman" w:cs="Times New Roman"/>
          <w:sz w:val="24"/>
          <w:szCs w:val="24"/>
        </w:rPr>
        <w:t xml:space="preserve"> “shall’ to imply a mandatory requirement.  </w:t>
      </w:r>
      <w:bookmarkStart w:id="31" w:name="CITRUS_BOOKMARK188"/>
      <w:r w:rsidR="00BA163F" w:rsidRPr="003407B6">
        <w:rPr>
          <w:rFonts w:ascii="Times New Roman" w:hAnsi="Times New Roman" w:cs="Times New Roman"/>
          <w:sz w:val="24"/>
          <w:szCs w:val="24"/>
          <w:u w:val="single"/>
        </w:rPr>
        <w:t xml:space="preserve">Mallard v. </w:t>
      </w:r>
      <w:r w:rsidR="00BA163F" w:rsidRPr="00C2432F">
        <w:rPr>
          <w:rFonts w:ascii="Times New Roman" w:hAnsi="Times New Roman" w:cs="Times New Roman"/>
          <w:sz w:val="24"/>
          <w:szCs w:val="24"/>
          <w:u w:val="single"/>
        </w:rPr>
        <w:t>U.S. Dist. Court for S. Dist. of Iowa</w:t>
      </w:r>
      <w:r w:rsidR="00BA163F" w:rsidRPr="003407B6">
        <w:rPr>
          <w:rFonts w:ascii="Times New Roman" w:hAnsi="Times New Roman" w:cs="Times New Roman"/>
          <w:sz w:val="24"/>
          <w:szCs w:val="24"/>
        </w:rPr>
        <w:t>, 490 U.S. 296, 302 (1989)</w:t>
      </w:r>
      <w:bookmarkEnd w:id="31"/>
      <w:r w:rsidR="00BA163F" w:rsidRPr="00277397">
        <w:rPr>
          <w:rFonts w:ascii="Times New Roman" w:hAnsi="Times New Roman" w:cs="Times New Roman"/>
          <w:sz w:val="24"/>
          <w:szCs w:val="24"/>
        </w:rPr>
        <w:t xml:space="preserve">.  </w:t>
      </w:r>
    </w:p>
    <w:p w14:paraId="7DC70EB0" w14:textId="77777777" w:rsidR="00013D32" w:rsidRPr="00277397" w:rsidRDefault="00DD2196" w:rsidP="00013D32">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In addition to the plain meaning rule, t</w:t>
      </w:r>
      <w:r w:rsidR="00BD1858" w:rsidRPr="00277397">
        <w:rPr>
          <w:rFonts w:ascii="Times New Roman" w:hAnsi="Times New Roman" w:cs="Times New Roman"/>
          <w:sz w:val="24"/>
          <w:szCs w:val="24"/>
        </w:rPr>
        <w:t xml:space="preserve">he </w:t>
      </w:r>
      <w:r w:rsidRPr="00277397">
        <w:rPr>
          <w:rFonts w:ascii="Times New Roman" w:hAnsi="Times New Roman" w:cs="Times New Roman"/>
          <w:sz w:val="24"/>
          <w:szCs w:val="24"/>
        </w:rPr>
        <w:t xml:space="preserve">canon against surplusage </w:t>
      </w:r>
      <w:r w:rsidR="003B2E7E" w:rsidRPr="00277397">
        <w:rPr>
          <w:rFonts w:ascii="Times New Roman" w:hAnsi="Times New Roman" w:cs="Times New Roman"/>
          <w:sz w:val="24"/>
          <w:szCs w:val="24"/>
        </w:rPr>
        <w:t xml:space="preserve">supports </w:t>
      </w:r>
      <w:r w:rsidR="00DE0090" w:rsidRPr="00277397">
        <w:rPr>
          <w:rFonts w:ascii="Times New Roman" w:hAnsi="Times New Roman" w:cs="Times New Roman"/>
          <w:sz w:val="24"/>
          <w:szCs w:val="24"/>
        </w:rPr>
        <w:t>Lime’s</w:t>
      </w:r>
      <w:r w:rsidR="00603624" w:rsidRPr="00277397">
        <w:rPr>
          <w:rFonts w:ascii="Times New Roman" w:hAnsi="Times New Roman" w:cs="Times New Roman"/>
          <w:sz w:val="24"/>
          <w:szCs w:val="24"/>
        </w:rPr>
        <w:t xml:space="preserve"> argument </w:t>
      </w:r>
      <w:r w:rsidR="00BD1858" w:rsidRPr="00277397">
        <w:rPr>
          <w:rFonts w:ascii="Times New Roman" w:hAnsi="Times New Roman" w:cs="Times New Roman"/>
          <w:sz w:val="24"/>
          <w:szCs w:val="24"/>
        </w:rPr>
        <w:t>that the written agreement must precede the</w:t>
      </w:r>
      <w:r w:rsidR="003B2E7E" w:rsidRPr="00277397">
        <w:rPr>
          <w:rFonts w:ascii="Times New Roman" w:hAnsi="Times New Roman" w:cs="Times New Roman"/>
          <w:sz w:val="24"/>
          <w:szCs w:val="24"/>
        </w:rPr>
        <w:t xml:space="preserve"> commissioned</w:t>
      </w:r>
      <w:r w:rsidR="00BD1858" w:rsidRPr="00277397">
        <w:rPr>
          <w:rFonts w:ascii="Times New Roman" w:hAnsi="Times New Roman" w:cs="Times New Roman"/>
          <w:sz w:val="24"/>
          <w:szCs w:val="24"/>
        </w:rPr>
        <w:t xml:space="preserve"> work.  </w:t>
      </w:r>
      <w:r w:rsidRPr="00277397">
        <w:rPr>
          <w:rFonts w:ascii="Times New Roman" w:hAnsi="Times New Roman" w:cs="Times New Roman"/>
          <w:sz w:val="24"/>
          <w:szCs w:val="24"/>
        </w:rPr>
        <w:t xml:space="preserve">The canon against surplusage states that, if possible, a statute should be interpreted so that “no clause, sentence, or word shall be superfluous, void, or insignificant.”  </w:t>
      </w:r>
      <w:bookmarkStart w:id="32" w:name="CITRUS_BOOKMARK137"/>
      <w:r w:rsidRPr="00FD2AF4">
        <w:rPr>
          <w:rFonts w:ascii="Times New Roman" w:hAnsi="Times New Roman" w:cs="Times New Roman"/>
          <w:sz w:val="24"/>
          <w:szCs w:val="24"/>
          <w:u w:val="single"/>
        </w:rPr>
        <w:t xml:space="preserve">TRW Inc. v. </w:t>
      </w:r>
      <w:r w:rsidRPr="00C2432F">
        <w:rPr>
          <w:rFonts w:ascii="Times New Roman" w:hAnsi="Times New Roman" w:cs="Times New Roman"/>
          <w:sz w:val="24"/>
          <w:szCs w:val="24"/>
          <w:u w:val="single"/>
        </w:rPr>
        <w:t>Andrews</w:t>
      </w:r>
      <w:r w:rsidRPr="00FD2AF4">
        <w:rPr>
          <w:rFonts w:ascii="Times New Roman" w:hAnsi="Times New Roman" w:cs="Times New Roman"/>
          <w:sz w:val="24"/>
          <w:szCs w:val="24"/>
        </w:rPr>
        <w:t>, 534 U.S. 19, 31 (2001)</w:t>
      </w:r>
      <w:bookmarkEnd w:id="32"/>
      <w:r w:rsidRPr="00277397">
        <w:rPr>
          <w:rFonts w:ascii="Times New Roman" w:hAnsi="Times New Roman" w:cs="Times New Roman"/>
          <w:sz w:val="24"/>
          <w:szCs w:val="24"/>
        </w:rPr>
        <w:t>.</w:t>
      </w:r>
      <w:r w:rsidR="00A63C47" w:rsidRPr="00277397">
        <w:rPr>
          <w:rFonts w:ascii="Times New Roman" w:hAnsi="Times New Roman" w:cs="Times New Roman"/>
          <w:sz w:val="24"/>
          <w:szCs w:val="24"/>
        </w:rPr>
        <w:t xml:space="preserve">  </w:t>
      </w:r>
      <w:r w:rsidR="00277213" w:rsidRPr="00277397">
        <w:rPr>
          <w:rFonts w:ascii="Times New Roman" w:hAnsi="Times New Roman" w:cs="Times New Roman"/>
          <w:sz w:val="24"/>
          <w:szCs w:val="24"/>
        </w:rPr>
        <w:t>Because “shall” expresses “futurity,” placing “future” before “work made</w:t>
      </w:r>
      <w:r w:rsidR="0057534F" w:rsidRPr="00277397">
        <w:rPr>
          <w:rFonts w:ascii="Times New Roman" w:hAnsi="Times New Roman" w:cs="Times New Roman"/>
          <w:sz w:val="24"/>
          <w:szCs w:val="24"/>
        </w:rPr>
        <w:t xml:space="preserve"> for hire” would be redundant.</w:t>
      </w:r>
      <w:r w:rsidR="0028034C" w:rsidRPr="00277397">
        <w:rPr>
          <w:rFonts w:ascii="Times New Roman" w:hAnsi="Times New Roman" w:cs="Times New Roman"/>
          <w:sz w:val="24"/>
          <w:szCs w:val="24"/>
        </w:rPr>
        <w:t xml:space="preserve">  OGS contends that Congress did not mandate a written agreement prior to the creation of a work made for hire because it did no</w:t>
      </w:r>
      <w:r w:rsidR="00013D32" w:rsidRPr="00277397">
        <w:rPr>
          <w:rFonts w:ascii="Times New Roman" w:hAnsi="Times New Roman" w:cs="Times New Roman"/>
          <w:sz w:val="24"/>
          <w:szCs w:val="24"/>
        </w:rPr>
        <w:t>t state such a requirement explicitly.  However, Congress’ inclusion of “shall” produces the same effect without including superfluous words.</w:t>
      </w:r>
      <w:r w:rsidR="00C71273" w:rsidRPr="00277397">
        <w:rPr>
          <w:rFonts w:ascii="Times New Roman" w:hAnsi="Times New Roman" w:cs="Times New Roman"/>
          <w:sz w:val="24"/>
          <w:szCs w:val="24"/>
        </w:rPr>
        <w:t xml:space="preserve">  </w:t>
      </w:r>
    </w:p>
    <w:p w14:paraId="588B7889" w14:textId="77777777" w:rsidR="00AE324A" w:rsidRPr="00277397" w:rsidRDefault="00C2565E" w:rsidP="00013D32">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lastRenderedPageBreak/>
        <w:t>Interpreting the</w:t>
      </w:r>
      <w:r w:rsidR="00277213" w:rsidRPr="00277397">
        <w:rPr>
          <w:rFonts w:ascii="Times New Roman" w:hAnsi="Times New Roman" w:cs="Times New Roman"/>
          <w:sz w:val="24"/>
          <w:szCs w:val="24"/>
        </w:rPr>
        <w:t xml:space="preserve"> statute</w:t>
      </w:r>
      <w:r w:rsidRPr="00277397">
        <w:rPr>
          <w:rFonts w:ascii="Times New Roman" w:hAnsi="Times New Roman" w:cs="Times New Roman"/>
          <w:sz w:val="24"/>
          <w:szCs w:val="24"/>
        </w:rPr>
        <w:t xml:space="preserve"> to</w:t>
      </w:r>
      <w:r w:rsidR="00277213" w:rsidRPr="00277397">
        <w:rPr>
          <w:rFonts w:ascii="Times New Roman" w:hAnsi="Times New Roman" w:cs="Times New Roman"/>
          <w:sz w:val="24"/>
          <w:szCs w:val="24"/>
        </w:rPr>
        <w:t xml:space="preserve"> </w:t>
      </w:r>
      <w:r w:rsidRPr="00277397">
        <w:rPr>
          <w:rFonts w:ascii="Times New Roman" w:hAnsi="Times New Roman" w:cs="Times New Roman"/>
          <w:sz w:val="24"/>
          <w:szCs w:val="24"/>
        </w:rPr>
        <w:t>require</w:t>
      </w:r>
      <w:r w:rsidR="003B2E7E" w:rsidRPr="00277397">
        <w:rPr>
          <w:rFonts w:ascii="Times New Roman" w:hAnsi="Times New Roman" w:cs="Times New Roman"/>
          <w:sz w:val="24"/>
          <w:szCs w:val="24"/>
        </w:rPr>
        <w:t xml:space="preserve"> a written agreement signed by both parties in general, regardless of when the agreement is signed, disregards the meaning of “shall.”  </w:t>
      </w:r>
      <w:r w:rsidR="00E52357" w:rsidRPr="00277397">
        <w:rPr>
          <w:rFonts w:ascii="Times New Roman" w:hAnsi="Times New Roman" w:cs="Times New Roman"/>
          <w:sz w:val="24"/>
          <w:szCs w:val="24"/>
        </w:rPr>
        <w:t>R</w:t>
      </w:r>
      <w:r w:rsidR="003B2E7E" w:rsidRPr="00277397">
        <w:rPr>
          <w:rFonts w:ascii="Times New Roman" w:hAnsi="Times New Roman" w:cs="Times New Roman"/>
          <w:sz w:val="24"/>
          <w:szCs w:val="24"/>
        </w:rPr>
        <w:t xml:space="preserve">equiring the statute to </w:t>
      </w:r>
      <w:r w:rsidR="00277213" w:rsidRPr="00277397">
        <w:rPr>
          <w:rFonts w:ascii="Times New Roman" w:hAnsi="Times New Roman" w:cs="Times New Roman"/>
          <w:sz w:val="24"/>
          <w:szCs w:val="24"/>
        </w:rPr>
        <w:t>specifically state that the agreement refers to a future work would render parts o</w:t>
      </w:r>
      <w:r w:rsidR="003B2E7E" w:rsidRPr="00277397">
        <w:rPr>
          <w:rFonts w:ascii="Times New Roman" w:hAnsi="Times New Roman" w:cs="Times New Roman"/>
          <w:sz w:val="24"/>
          <w:szCs w:val="24"/>
        </w:rPr>
        <w:t xml:space="preserve">f the </w:t>
      </w:r>
      <w:r w:rsidR="00E52357" w:rsidRPr="00277397">
        <w:rPr>
          <w:rFonts w:ascii="Times New Roman" w:hAnsi="Times New Roman" w:cs="Times New Roman"/>
          <w:sz w:val="24"/>
          <w:szCs w:val="24"/>
        </w:rPr>
        <w:t>text</w:t>
      </w:r>
      <w:r w:rsidR="003B2E7E" w:rsidRPr="00277397">
        <w:rPr>
          <w:rFonts w:ascii="Times New Roman" w:hAnsi="Times New Roman" w:cs="Times New Roman"/>
          <w:sz w:val="24"/>
          <w:szCs w:val="24"/>
        </w:rPr>
        <w:t xml:space="preserve"> superfluous.  </w:t>
      </w:r>
      <w:r w:rsidR="00603624" w:rsidRPr="00277397">
        <w:rPr>
          <w:rFonts w:ascii="Times New Roman" w:hAnsi="Times New Roman" w:cs="Times New Roman"/>
          <w:sz w:val="24"/>
          <w:szCs w:val="24"/>
        </w:rPr>
        <w:t xml:space="preserve">Because Congress aims to avoid redundancy in its statutes, the </w:t>
      </w:r>
      <w:r w:rsidR="00A63C47" w:rsidRPr="00277397">
        <w:rPr>
          <w:rFonts w:ascii="Times New Roman" w:hAnsi="Times New Roman" w:cs="Times New Roman"/>
          <w:sz w:val="24"/>
          <w:szCs w:val="24"/>
        </w:rPr>
        <w:t>C</w:t>
      </w:r>
      <w:r w:rsidR="00E52357" w:rsidRPr="00277397">
        <w:rPr>
          <w:rFonts w:ascii="Times New Roman" w:hAnsi="Times New Roman" w:cs="Times New Roman"/>
          <w:sz w:val="24"/>
          <w:szCs w:val="24"/>
        </w:rPr>
        <w:t xml:space="preserve">ourt should avoid </w:t>
      </w:r>
      <w:r w:rsidR="00603624" w:rsidRPr="00277397">
        <w:rPr>
          <w:rFonts w:ascii="Times New Roman" w:hAnsi="Times New Roman" w:cs="Times New Roman"/>
          <w:sz w:val="24"/>
          <w:szCs w:val="24"/>
        </w:rPr>
        <w:t>redundancy in its interpretat</w:t>
      </w:r>
      <w:r w:rsidR="00E52357" w:rsidRPr="00277397">
        <w:rPr>
          <w:rFonts w:ascii="Times New Roman" w:hAnsi="Times New Roman" w:cs="Times New Roman"/>
          <w:sz w:val="24"/>
          <w:szCs w:val="24"/>
        </w:rPr>
        <w:t xml:space="preserve">ion.  Interpreting the statute </w:t>
      </w:r>
      <w:r w:rsidR="00603624" w:rsidRPr="00277397">
        <w:rPr>
          <w:rFonts w:ascii="Times New Roman" w:hAnsi="Times New Roman" w:cs="Times New Roman"/>
          <w:sz w:val="24"/>
          <w:szCs w:val="24"/>
        </w:rPr>
        <w:t>to require that the written agreement precede the creation of the work would avoid redundancy.</w:t>
      </w:r>
      <w:r w:rsidR="00A63C47" w:rsidRPr="00277397">
        <w:rPr>
          <w:rFonts w:ascii="Times New Roman" w:hAnsi="Times New Roman" w:cs="Times New Roman"/>
          <w:sz w:val="24"/>
          <w:szCs w:val="24"/>
        </w:rPr>
        <w:t xml:space="preserve">  </w:t>
      </w:r>
      <w:bookmarkStart w:id="33" w:name="CITRUS_BOOKMARK1000000189"/>
      <w:r w:rsidR="00A63C47" w:rsidRPr="00277397">
        <w:rPr>
          <w:rFonts w:ascii="Times New Roman" w:hAnsi="Times New Roman" w:cs="Times New Roman"/>
          <w:sz w:val="24"/>
          <w:szCs w:val="24"/>
          <w:u w:val="single"/>
        </w:rPr>
        <w:t>TRW Inc.</w:t>
      </w:r>
      <w:r w:rsidR="003016B2">
        <w:rPr>
          <w:rFonts w:ascii="Times New Roman" w:hAnsi="Times New Roman" w:cs="Times New Roman"/>
          <w:sz w:val="24"/>
          <w:szCs w:val="24"/>
        </w:rPr>
        <w:t xml:space="preserve">, 534 U.S. at </w:t>
      </w:r>
      <w:r w:rsidR="00A63C47" w:rsidRPr="00277397">
        <w:rPr>
          <w:rFonts w:ascii="Times New Roman" w:hAnsi="Times New Roman" w:cs="Times New Roman"/>
          <w:sz w:val="24"/>
          <w:szCs w:val="24"/>
        </w:rPr>
        <w:t>31</w:t>
      </w:r>
      <w:bookmarkEnd w:id="33"/>
      <w:r w:rsidR="00A63C47" w:rsidRPr="00277397">
        <w:rPr>
          <w:rFonts w:ascii="Times New Roman" w:hAnsi="Times New Roman" w:cs="Times New Roman"/>
          <w:sz w:val="24"/>
          <w:szCs w:val="24"/>
        </w:rPr>
        <w:t>.</w:t>
      </w:r>
    </w:p>
    <w:p w14:paraId="799C10AF" w14:textId="77777777" w:rsidR="00C2565E" w:rsidRDefault="00C2565E" w:rsidP="00C71273">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 xml:space="preserve">The inclusion of “shall” in </w:t>
      </w:r>
      <w:bookmarkStart w:id="34" w:name="CITRUS_BOOKMARK1000000145"/>
      <w:r w:rsidRPr="007B34E3">
        <w:rPr>
          <w:rFonts w:ascii="Times New Roman" w:hAnsi="Times New Roman" w:cs="Times New Roman"/>
          <w:sz w:val="24"/>
          <w:szCs w:val="24"/>
        </w:rPr>
        <w:t>17 U.S.C</w:t>
      </w:r>
      <w:r w:rsidR="007B34E3" w:rsidRPr="007B34E3">
        <w:rPr>
          <w:rFonts w:ascii="Times New Roman" w:hAnsi="Times New Roman" w:cs="Times New Roman"/>
          <w:sz w:val="24"/>
          <w:szCs w:val="24"/>
        </w:rPr>
        <w:t>.</w:t>
      </w:r>
      <w:r w:rsidRPr="007B34E3">
        <w:rPr>
          <w:rFonts w:ascii="Times New Roman" w:hAnsi="Times New Roman" w:cs="Times New Roman"/>
          <w:sz w:val="24"/>
          <w:szCs w:val="24"/>
        </w:rPr>
        <w:t xml:space="preserve"> § 101(2)</w:t>
      </w:r>
      <w:bookmarkEnd w:id="34"/>
      <w:r w:rsidRPr="00277397">
        <w:rPr>
          <w:rFonts w:ascii="Times New Roman" w:hAnsi="Times New Roman" w:cs="Times New Roman"/>
          <w:sz w:val="24"/>
          <w:szCs w:val="24"/>
        </w:rPr>
        <w:t xml:space="preserve"> necessitates that, in order for “Anticipatory Repudiation” to be “made for hire,” Lime and OGS must have signed an agreement before Lime began workin</w:t>
      </w:r>
      <w:r w:rsidR="00C71273" w:rsidRPr="00277397">
        <w:rPr>
          <w:rFonts w:ascii="Times New Roman" w:hAnsi="Times New Roman" w:cs="Times New Roman"/>
          <w:sz w:val="24"/>
          <w:szCs w:val="24"/>
        </w:rPr>
        <w:t xml:space="preserve">g on the screenplay.  </w:t>
      </w:r>
      <w:r w:rsidRPr="00277397">
        <w:rPr>
          <w:rFonts w:ascii="Times New Roman" w:hAnsi="Times New Roman" w:cs="Times New Roman"/>
          <w:sz w:val="24"/>
          <w:szCs w:val="24"/>
        </w:rPr>
        <w:t>Because the “Made for Hire” agreement was not signed preceding the creation of “Anticipatory Repudiation,” the screenplay was not “made for hire.”</w:t>
      </w:r>
      <w:r w:rsidR="00C71273" w:rsidRPr="00277397">
        <w:rPr>
          <w:rFonts w:ascii="Times New Roman" w:hAnsi="Times New Roman" w:cs="Times New Roman"/>
          <w:sz w:val="24"/>
          <w:szCs w:val="24"/>
        </w:rPr>
        <w:t xml:space="preserve">  </w:t>
      </w:r>
    </w:p>
    <w:p w14:paraId="7338FF82" w14:textId="77777777" w:rsidR="00806DA3" w:rsidRDefault="00AE53F2" w:rsidP="005C6094">
      <w:pPr>
        <w:pStyle w:val="NoSpacing"/>
        <w:numPr>
          <w:ilvl w:val="0"/>
          <w:numId w:val="43"/>
        </w:numPr>
        <w:jc w:val="both"/>
        <w:rPr>
          <w:rFonts w:ascii="Times New Roman" w:hAnsi="Times New Roman" w:cs="Times New Roman"/>
          <w:color w:val="FF0000"/>
          <w:sz w:val="24"/>
          <w:szCs w:val="24"/>
        </w:rPr>
      </w:pPr>
      <w:r>
        <w:rPr>
          <w:rFonts w:ascii="Times New Roman" w:hAnsi="Times New Roman" w:cs="Times New Roman"/>
          <w:b/>
          <w:sz w:val="24"/>
          <w:szCs w:val="24"/>
        </w:rPr>
        <w:t>In Order to Avoid Redundancy, t</w:t>
      </w:r>
      <w:r w:rsidR="00806DA3">
        <w:rPr>
          <w:rFonts w:ascii="Times New Roman" w:hAnsi="Times New Roman" w:cs="Times New Roman"/>
          <w:b/>
          <w:sz w:val="24"/>
          <w:szCs w:val="24"/>
        </w:rPr>
        <w:t xml:space="preserve">he Plain Meaning of </w:t>
      </w:r>
      <w:bookmarkStart w:id="35" w:name="CITRUS_BOOKMARK1000000159"/>
      <w:r w:rsidR="00806DA3" w:rsidRPr="00806DA3">
        <w:rPr>
          <w:rFonts w:ascii="Times New Roman" w:hAnsi="Times New Roman" w:cs="Times New Roman"/>
          <w:b/>
          <w:sz w:val="24"/>
          <w:szCs w:val="24"/>
        </w:rPr>
        <w:t xml:space="preserve">17 U.S.C. § </w:t>
      </w:r>
      <w:bookmarkEnd w:id="35"/>
      <w:r w:rsidR="00806DA3">
        <w:rPr>
          <w:rFonts w:ascii="Times New Roman" w:hAnsi="Times New Roman" w:cs="Times New Roman"/>
          <w:b/>
          <w:sz w:val="24"/>
          <w:szCs w:val="24"/>
        </w:rPr>
        <w:t xml:space="preserve">204(a) Requires an Interpretation of </w:t>
      </w:r>
      <w:bookmarkStart w:id="36" w:name="CITRUS_BOOKMARK1000000160"/>
      <w:r w:rsidR="00806DA3" w:rsidRPr="00806DA3">
        <w:rPr>
          <w:rFonts w:ascii="Times New Roman" w:hAnsi="Times New Roman" w:cs="Times New Roman"/>
          <w:b/>
          <w:sz w:val="24"/>
          <w:szCs w:val="24"/>
        </w:rPr>
        <w:t xml:space="preserve">17 U.S.C. § </w:t>
      </w:r>
      <w:bookmarkEnd w:id="36"/>
      <w:r w:rsidR="00806DA3">
        <w:rPr>
          <w:rFonts w:ascii="Times New Roman" w:hAnsi="Times New Roman" w:cs="Times New Roman"/>
          <w:b/>
          <w:sz w:val="24"/>
          <w:szCs w:val="24"/>
        </w:rPr>
        <w:t>101(2) Consistent with Lime’s Argument</w:t>
      </w:r>
      <w:r>
        <w:rPr>
          <w:rFonts w:ascii="Times New Roman" w:hAnsi="Times New Roman" w:cs="Times New Roman"/>
          <w:b/>
          <w:sz w:val="24"/>
          <w:szCs w:val="24"/>
        </w:rPr>
        <w:t>.</w:t>
      </w:r>
    </w:p>
    <w:p w14:paraId="6CAF1AD4" w14:textId="77777777" w:rsidR="00806DA3" w:rsidRPr="00806DA3" w:rsidRDefault="00806DA3" w:rsidP="00806DA3">
      <w:pPr>
        <w:pStyle w:val="NoSpacing"/>
        <w:ind w:left="720"/>
        <w:jc w:val="both"/>
        <w:rPr>
          <w:rFonts w:ascii="Times New Roman" w:hAnsi="Times New Roman" w:cs="Times New Roman"/>
          <w:color w:val="FF0000"/>
          <w:sz w:val="24"/>
          <w:szCs w:val="24"/>
        </w:rPr>
      </w:pPr>
    </w:p>
    <w:p w14:paraId="14A539EB" w14:textId="77777777" w:rsidR="00DC3394" w:rsidRDefault="007B34E3" w:rsidP="007B34E3">
      <w:pPr>
        <w:pStyle w:val="NoSpacing"/>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Because the statute should be read as a whole, a comparison of the “made for hi</w:t>
      </w:r>
      <w:r w:rsidR="00806DA3">
        <w:rPr>
          <w:rFonts w:ascii="Times New Roman" w:hAnsi="Times New Roman" w:cs="Times New Roman"/>
          <w:sz w:val="24"/>
          <w:szCs w:val="24"/>
        </w:rPr>
        <w:t>re” provision</w:t>
      </w:r>
      <w:r>
        <w:rPr>
          <w:rFonts w:ascii="Times New Roman" w:hAnsi="Times New Roman" w:cs="Times New Roman"/>
          <w:sz w:val="24"/>
          <w:szCs w:val="24"/>
        </w:rPr>
        <w:t xml:space="preserve"> and </w:t>
      </w:r>
      <w:r w:rsidR="00DC3394">
        <w:rPr>
          <w:rFonts w:ascii="Times New Roman" w:hAnsi="Times New Roman" w:cs="Times New Roman"/>
          <w:sz w:val="24"/>
          <w:szCs w:val="24"/>
        </w:rPr>
        <w:t>another section</w:t>
      </w:r>
      <w:r>
        <w:rPr>
          <w:rFonts w:ascii="Times New Roman" w:hAnsi="Times New Roman" w:cs="Times New Roman"/>
          <w:sz w:val="24"/>
          <w:szCs w:val="24"/>
        </w:rPr>
        <w:t xml:space="preserve"> of the Copyright Act is appropriate.  </w:t>
      </w:r>
      <w:bookmarkStart w:id="37" w:name="CITRUS_BOOKMARK157"/>
      <w:r w:rsidRPr="00AE53F2">
        <w:rPr>
          <w:rFonts w:ascii="Times New Roman" w:hAnsi="Times New Roman" w:cs="Times New Roman"/>
          <w:sz w:val="24"/>
          <w:szCs w:val="24"/>
          <w:u w:val="single"/>
        </w:rPr>
        <w:t xml:space="preserve">Massachusetts v. </w:t>
      </w:r>
      <w:r w:rsidRPr="00C2432F">
        <w:rPr>
          <w:rFonts w:ascii="Times New Roman" w:hAnsi="Times New Roman" w:cs="Times New Roman"/>
          <w:sz w:val="24"/>
          <w:szCs w:val="24"/>
          <w:u w:val="single"/>
        </w:rPr>
        <w:t>Morash</w:t>
      </w:r>
      <w:r w:rsidRPr="00AE53F2">
        <w:rPr>
          <w:rFonts w:ascii="Times New Roman" w:hAnsi="Times New Roman" w:cs="Times New Roman"/>
          <w:sz w:val="24"/>
          <w:szCs w:val="24"/>
        </w:rPr>
        <w:t>, 490 U.S. 107, 115 (1989)</w:t>
      </w:r>
      <w:bookmarkEnd w:id="37"/>
      <w:r w:rsidRPr="00806DA3">
        <w:rPr>
          <w:rFonts w:ascii="Times New Roman" w:hAnsi="Times New Roman" w:cs="Times New Roman"/>
          <w:sz w:val="24"/>
          <w:szCs w:val="24"/>
        </w:rPr>
        <w:t>.</w:t>
      </w:r>
      <w:r w:rsidR="00806DA3">
        <w:rPr>
          <w:rFonts w:ascii="Times New Roman" w:hAnsi="Times New Roman" w:cs="Times New Roman"/>
          <w:sz w:val="24"/>
          <w:szCs w:val="24"/>
        </w:rPr>
        <w:t xml:space="preserve">  Another provision of the Copyright Act, </w:t>
      </w:r>
      <w:bookmarkStart w:id="38" w:name="CITRUS_BOOKMARK1000000161"/>
      <w:r w:rsidR="00806DA3" w:rsidRPr="00806DA3">
        <w:rPr>
          <w:rFonts w:ascii="Times New Roman" w:hAnsi="Times New Roman" w:cs="Times New Roman"/>
          <w:sz w:val="24"/>
          <w:szCs w:val="24"/>
        </w:rPr>
        <w:t xml:space="preserve">17 U.S.C. § </w:t>
      </w:r>
      <w:bookmarkEnd w:id="38"/>
      <w:r w:rsidR="00806DA3" w:rsidRPr="00806DA3">
        <w:rPr>
          <w:rFonts w:ascii="Times New Roman" w:hAnsi="Times New Roman" w:cs="Times New Roman"/>
          <w:sz w:val="24"/>
          <w:szCs w:val="24"/>
        </w:rPr>
        <w:t>204(a)</w:t>
      </w:r>
      <w:r w:rsidR="00806DA3">
        <w:rPr>
          <w:rFonts w:ascii="Times New Roman" w:hAnsi="Times New Roman" w:cs="Times New Roman"/>
          <w:sz w:val="24"/>
          <w:szCs w:val="24"/>
        </w:rPr>
        <w:t>, provides that “a transfer of ownership…is not valid unless an instrument of conveyance…is in writing and signed by the owner of the rights conveyed or such owner’s duly authorized agent.”</w:t>
      </w:r>
      <w:r w:rsidR="00806DA3" w:rsidRPr="00806DA3">
        <w:rPr>
          <w:rFonts w:ascii="Times New Roman" w:hAnsi="Times New Roman" w:cs="Times New Roman"/>
          <w:sz w:val="24"/>
          <w:szCs w:val="24"/>
        </w:rPr>
        <w:t xml:space="preserve">   </w:t>
      </w:r>
      <w:bookmarkStart w:id="39" w:name="CITRUS_BOOKMARK1000000162"/>
      <w:r w:rsidR="00806DA3" w:rsidRPr="00AE53F2">
        <w:rPr>
          <w:rFonts w:ascii="Times New Roman" w:hAnsi="Times New Roman" w:cs="Times New Roman"/>
          <w:sz w:val="24"/>
          <w:szCs w:val="24"/>
        </w:rPr>
        <w:t xml:space="preserve">17 U.S.C. § </w:t>
      </w:r>
      <w:bookmarkEnd w:id="39"/>
      <w:r w:rsidR="00806DA3" w:rsidRPr="00806DA3">
        <w:rPr>
          <w:rFonts w:ascii="Times New Roman" w:hAnsi="Times New Roman" w:cs="Times New Roman"/>
          <w:sz w:val="24"/>
          <w:szCs w:val="24"/>
        </w:rPr>
        <w:t>204(a)</w:t>
      </w:r>
      <w:r w:rsidR="00806DA3">
        <w:rPr>
          <w:rFonts w:ascii="Times New Roman" w:hAnsi="Times New Roman" w:cs="Times New Roman"/>
          <w:sz w:val="24"/>
          <w:szCs w:val="24"/>
        </w:rPr>
        <w:t>.</w:t>
      </w:r>
      <w:r w:rsidR="00DC3394">
        <w:rPr>
          <w:rFonts w:ascii="Times New Roman" w:hAnsi="Times New Roman" w:cs="Times New Roman"/>
          <w:sz w:val="24"/>
          <w:szCs w:val="24"/>
        </w:rPr>
        <w:t xml:space="preserve">  This provision allows parties to transfer ownership after a work is created.  </w:t>
      </w:r>
      <w:bookmarkStart w:id="40" w:name="CITRUS_BOOKMARK1000000167"/>
      <w:r w:rsidR="00DC3394" w:rsidRPr="00AE53F2">
        <w:rPr>
          <w:rFonts w:ascii="Times New Roman" w:hAnsi="Times New Roman" w:cs="Times New Roman"/>
          <w:sz w:val="24"/>
          <w:szCs w:val="24"/>
        </w:rPr>
        <w:t xml:space="preserve">17 U.S.C. § </w:t>
      </w:r>
      <w:bookmarkEnd w:id="40"/>
      <w:r w:rsidR="00DC3394" w:rsidRPr="00806DA3">
        <w:rPr>
          <w:rFonts w:ascii="Times New Roman" w:hAnsi="Times New Roman" w:cs="Times New Roman"/>
          <w:sz w:val="24"/>
          <w:szCs w:val="24"/>
        </w:rPr>
        <w:t>204(a)</w:t>
      </w:r>
      <w:r w:rsidR="00DC3394">
        <w:rPr>
          <w:rFonts w:ascii="Times New Roman" w:hAnsi="Times New Roman" w:cs="Times New Roman"/>
          <w:sz w:val="24"/>
          <w:szCs w:val="24"/>
        </w:rPr>
        <w:t xml:space="preserve">.  </w:t>
      </w:r>
    </w:p>
    <w:p w14:paraId="21ABAC70" w14:textId="77777777" w:rsidR="007B34E3" w:rsidRPr="00277397" w:rsidRDefault="00DC3394" w:rsidP="005C6094">
      <w:pPr>
        <w:pStyle w:val="NoSpacing"/>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If, as OGS urges, the Court interprets </w:t>
      </w:r>
      <w:bookmarkStart w:id="41" w:name="CITRUS_BOOKMARK1000000164"/>
      <w:r w:rsidRPr="00DC3394">
        <w:rPr>
          <w:rFonts w:ascii="Times New Roman" w:hAnsi="Times New Roman" w:cs="Times New Roman"/>
          <w:sz w:val="24"/>
          <w:szCs w:val="24"/>
        </w:rPr>
        <w:t xml:space="preserve">17 U.S.C. § </w:t>
      </w:r>
      <w:bookmarkEnd w:id="41"/>
      <w:r>
        <w:rPr>
          <w:rFonts w:ascii="Times New Roman" w:hAnsi="Times New Roman" w:cs="Times New Roman"/>
          <w:sz w:val="24"/>
          <w:szCs w:val="24"/>
        </w:rPr>
        <w:t xml:space="preserve">101 to allow parties to sign a written “Made for Hire” agreement after the work is created, </w:t>
      </w:r>
      <w:bookmarkStart w:id="42" w:name="CITRUS_BOOKMARK1000000165"/>
      <w:r w:rsidRPr="005C6094">
        <w:rPr>
          <w:rFonts w:ascii="Times New Roman" w:hAnsi="Times New Roman" w:cs="Times New Roman"/>
          <w:sz w:val="24"/>
          <w:szCs w:val="24"/>
        </w:rPr>
        <w:t xml:space="preserve">17 U.S.C. § </w:t>
      </w:r>
      <w:bookmarkEnd w:id="42"/>
      <w:r w:rsidRPr="00806DA3">
        <w:rPr>
          <w:rFonts w:ascii="Times New Roman" w:hAnsi="Times New Roman" w:cs="Times New Roman"/>
          <w:sz w:val="24"/>
          <w:szCs w:val="24"/>
        </w:rPr>
        <w:t>204(a)</w:t>
      </w:r>
      <w:r>
        <w:rPr>
          <w:rFonts w:ascii="Times New Roman" w:hAnsi="Times New Roman" w:cs="Times New Roman"/>
          <w:sz w:val="24"/>
          <w:szCs w:val="24"/>
        </w:rPr>
        <w:t xml:space="preserve"> and </w:t>
      </w:r>
      <w:bookmarkStart w:id="43" w:name="CITRUS_BOOKMARK1000000166"/>
      <w:r w:rsidRPr="00AE53F2">
        <w:rPr>
          <w:rFonts w:ascii="Times New Roman" w:hAnsi="Times New Roman" w:cs="Times New Roman"/>
          <w:sz w:val="24"/>
          <w:szCs w:val="24"/>
        </w:rPr>
        <w:t xml:space="preserve">17 U.S.C. § </w:t>
      </w:r>
      <w:bookmarkEnd w:id="43"/>
      <w:r>
        <w:rPr>
          <w:rFonts w:ascii="Times New Roman" w:hAnsi="Times New Roman" w:cs="Times New Roman"/>
          <w:sz w:val="24"/>
          <w:szCs w:val="24"/>
        </w:rPr>
        <w:t>101(2) would achieve the same purpose.</w:t>
      </w:r>
      <w:r w:rsidR="005C6094">
        <w:rPr>
          <w:rFonts w:ascii="Times New Roman" w:hAnsi="Times New Roman" w:cs="Times New Roman"/>
          <w:sz w:val="24"/>
          <w:szCs w:val="24"/>
        </w:rPr>
        <w:t xml:space="preserve">  Because statutes should be interpreted to avoid redundancy, </w:t>
      </w:r>
      <w:bookmarkStart w:id="44" w:name="CITRUS_BOOKMARK1000000168"/>
      <w:r w:rsidR="005C6094" w:rsidRPr="00DC3394">
        <w:rPr>
          <w:rFonts w:ascii="Times New Roman" w:hAnsi="Times New Roman" w:cs="Times New Roman"/>
          <w:sz w:val="24"/>
          <w:szCs w:val="24"/>
        </w:rPr>
        <w:t xml:space="preserve">17 U.S.C. § </w:t>
      </w:r>
      <w:bookmarkEnd w:id="44"/>
      <w:r w:rsidR="005C6094" w:rsidRPr="00806DA3">
        <w:rPr>
          <w:rFonts w:ascii="Times New Roman" w:hAnsi="Times New Roman" w:cs="Times New Roman"/>
          <w:sz w:val="24"/>
          <w:szCs w:val="24"/>
        </w:rPr>
        <w:t>204(a)</w:t>
      </w:r>
      <w:r w:rsidR="005C6094">
        <w:rPr>
          <w:rFonts w:ascii="Times New Roman" w:hAnsi="Times New Roman" w:cs="Times New Roman"/>
          <w:sz w:val="24"/>
          <w:szCs w:val="24"/>
        </w:rPr>
        <w:t xml:space="preserve"> and </w:t>
      </w:r>
      <w:bookmarkStart w:id="45" w:name="CITRUS_BOOKMARK1000000169"/>
      <w:r w:rsidR="005C6094" w:rsidRPr="005C6094">
        <w:rPr>
          <w:rFonts w:ascii="Times New Roman" w:hAnsi="Times New Roman" w:cs="Times New Roman"/>
          <w:sz w:val="24"/>
          <w:szCs w:val="24"/>
        </w:rPr>
        <w:t xml:space="preserve">17 U.S.C. § </w:t>
      </w:r>
      <w:bookmarkEnd w:id="45"/>
      <w:r w:rsidR="005C6094">
        <w:rPr>
          <w:rFonts w:ascii="Times New Roman" w:hAnsi="Times New Roman" w:cs="Times New Roman"/>
          <w:sz w:val="24"/>
          <w:szCs w:val="24"/>
        </w:rPr>
        <w:t>101(2) must be interpreted to serve different purposes.</w:t>
      </w:r>
      <w:r w:rsidR="005C6094" w:rsidRPr="005C6094">
        <w:rPr>
          <w:rFonts w:ascii="Times New Roman" w:hAnsi="Times New Roman" w:cs="Times New Roman"/>
          <w:sz w:val="24"/>
          <w:szCs w:val="24"/>
        </w:rPr>
        <w:t xml:space="preserve">  </w:t>
      </w:r>
      <w:bookmarkStart w:id="46" w:name="CITRUS_BOOKMARK170"/>
      <w:r w:rsidR="005C6094" w:rsidRPr="00C2432F">
        <w:rPr>
          <w:rFonts w:ascii="Times New Roman" w:hAnsi="Times New Roman" w:cs="Times New Roman"/>
          <w:sz w:val="24"/>
          <w:szCs w:val="24"/>
          <w:u w:val="single"/>
        </w:rPr>
        <w:t xml:space="preserve">TRW </w:t>
      </w:r>
      <w:r w:rsidR="005C6094" w:rsidRPr="00C2432F">
        <w:rPr>
          <w:rFonts w:ascii="Times New Roman" w:hAnsi="Times New Roman" w:cs="Times New Roman"/>
          <w:sz w:val="24"/>
          <w:szCs w:val="24"/>
          <w:u w:val="single"/>
        </w:rPr>
        <w:lastRenderedPageBreak/>
        <w:t>Inc.</w:t>
      </w:r>
      <w:r w:rsidR="005C6094" w:rsidRPr="00944768">
        <w:rPr>
          <w:rFonts w:ascii="Times New Roman" w:hAnsi="Times New Roman" w:cs="Times New Roman"/>
          <w:sz w:val="24"/>
          <w:szCs w:val="24"/>
        </w:rPr>
        <w:t>, 534 U.S. at 31</w:t>
      </w:r>
      <w:bookmarkEnd w:id="46"/>
      <w:r w:rsidR="00F05181" w:rsidRPr="00277397">
        <w:rPr>
          <w:rFonts w:ascii="Times New Roman" w:hAnsi="Times New Roman" w:cs="Times New Roman"/>
          <w:sz w:val="24"/>
          <w:szCs w:val="24"/>
        </w:rPr>
        <w:t>.</w:t>
      </w:r>
      <w:r w:rsidR="005C6094">
        <w:rPr>
          <w:rFonts w:ascii="Times New Roman" w:hAnsi="Times New Roman" w:cs="Times New Roman"/>
          <w:sz w:val="24"/>
          <w:szCs w:val="24"/>
        </w:rPr>
        <w:t xml:space="preserve">  In order to avoid redundancy, </w:t>
      </w:r>
      <w:bookmarkStart w:id="47" w:name="CITRUS_BOOKMARK1000000171"/>
      <w:r w:rsidR="005C6094" w:rsidRPr="00DC3394">
        <w:rPr>
          <w:rFonts w:ascii="Times New Roman" w:hAnsi="Times New Roman" w:cs="Times New Roman"/>
          <w:sz w:val="24"/>
          <w:szCs w:val="24"/>
        </w:rPr>
        <w:t xml:space="preserve">17 U.S.C. § </w:t>
      </w:r>
      <w:bookmarkEnd w:id="47"/>
      <w:r w:rsidR="005C6094">
        <w:rPr>
          <w:rFonts w:ascii="Times New Roman" w:hAnsi="Times New Roman" w:cs="Times New Roman"/>
          <w:sz w:val="24"/>
          <w:szCs w:val="24"/>
        </w:rPr>
        <w:t>101(2) must require a written “Made for Hire” agreement prior to the creation of a commissioned work.</w:t>
      </w:r>
    </w:p>
    <w:p w14:paraId="520303C7" w14:textId="77777777" w:rsidR="00AE324A" w:rsidRPr="00DF23A8" w:rsidRDefault="00C71273" w:rsidP="00DF23A8">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The plain meaning of “shall” within the statute implies that the written ag</w:t>
      </w:r>
      <w:r w:rsidR="005C6094">
        <w:rPr>
          <w:rFonts w:ascii="Times New Roman" w:hAnsi="Times New Roman" w:cs="Times New Roman"/>
          <w:sz w:val="24"/>
          <w:szCs w:val="24"/>
        </w:rPr>
        <w:t xml:space="preserve">reement must precede the work.  Additionally, an examination of another statute illustrates that OGS’ interpretation of the “made for hire” provision is inaccurate as it creates redundancy.  </w:t>
      </w:r>
      <w:r w:rsidRPr="00277397">
        <w:rPr>
          <w:rFonts w:ascii="Times New Roman" w:hAnsi="Times New Roman" w:cs="Times New Roman"/>
          <w:sz w:val="24"/>
          <w:szCs w:val="24"/>
        </w:rPr>
        <w:t>As a result, the Court should find that the screenplay is not “made for hire” and that Lime owns “Anticipatory Repudiation.”</w:t>
      </w:r>
    </w:p>
    <w:p w14:paraId="58B4C0E2" w14:textId="77777777" w:rsidR="00FC7028" w:rsidRPr="00277397" w:rsidRDefault="0016404F" w:rsidP="007771BD">
      <w:pPr>
        <w:pStyle w:val="NoSpacing"/>
        <w:numPr>
          <w:ilvl w:val="0"/>
          <w:numId w:val="32"/>
        </w:numPr>
        <w:jc w:val="both"/>
        <w:rPr>
          <w:rFonts w:ascii="Times New Roman" w:hAnsi="Times New Roman" w:cs="Times New Roman"/>
          <w:b/>
          <w:sz w:val="24"/>
          <w:szCs w:val="24"/>
        </w:rPr>
      </w:pPr>
      <w:r w:rsidRPr="00277397">
        <w:rPr>
          <w:rFonts w:ascii="Times New Roman" w:hAnsi="Times New Roman" w:cs="Times New Roman"/>
          <w:b/>
          <w:sz w:val="24"/>
          <w:szCs w:val="24"/>
        </w:rPr>
        <w:t xml:space="preserve">Legislative History Supports Lime’s Claim By Demanding That </w:t>
      </w:r>
      <w:bookmarkStart w:id="48" w:name="CITRUS_BOOKMARK1000000098"/>
      <w:r w:rsidR="00C20731" w:rsidRPr="00277397">
        <w:rPr>
          <w:rFonts w:ascii="Times New Roman" w:hAnsi="Times New Roman" w:cs="Times New Roman"/>
          <w:b/>
          <w:sz w:val="24"/>
          <w:szCs w:val="24"/>
        </w:rPr>
        <w:t>17 U.S.C. §</w:t>
      </w:r>
      <w:r w:rsidR="00F71A58" w:rsidRPr="00277397">
        <w:rPr>
          <w:rFonts w:ascii="Times New Roman" w:hAnsi="Times New Roman" w:cs="Times New Roman"/>
          <w:b/>
          <w:sz w:val="24"/>
          <w:szCs w:val="24"/>
        </w:rPr>
        <w:t xml:space="preserve"> </w:t>
      </w:r>
      <w:r w:rsidR="00C20731" w:rsidRPr="00277397">
        <w:rPr>
          <w:rFonts w:ascii="Times New Roman" w:hAnsi="Times New Roman" w:cs="Times New Roman"/>
          <w:b/>
          <w:sz w:val="24"/>
          <w:szCs w:val="24"/>
        </w:rPr>
        <w:t>101</w:t>
      </w:r>
      <w:bookmarkEnd w:id="48"/>
      <w:r w:rsidR="00C20731" w:rsidRPr="00277397">
        <w:rPr>
          <w:rFonts w:ascii="Times New Roman" w:hAnsi="Times New Roman" w:cs="Times New Roman"/>
          <w:b/>
          <w:sz w:val="24"/>
          <w:szCs w:val="24"/>
        </w:rPr>
        <w:t xml:space="preserve"> </w:t>
      </w:r>
      <w:r w:rsidR="002951A6" w:rsidRPr="00277397">
        <w:rPr>
          <w:rFonts w:ascii="Times New Roman" w:hAnsi="Times New Roman" w:cs="Times New Roman"/>
          <w:b/>
          <w:sz w:val="24"/>
          <w:szCs w:val="24"/>
        </w:rPr>
        <w:t xml:space="preserve">Require Both Parties Sign a Written Agreement Designating a Work is “Made for Hire” Preceding the Creation of the </w:t>
      </w:r>
      <w:r w:rsidR="00AE324A" w:rsidRPr="00277397">
        <w:rPr>
          <w:rFonts w:ascii="Times New Roman" w:hAnsi="Times New Roman" w:cs="Times New Roman"/>
          <w:b/>
          <w:sz w:val="24"/>
          <w:szCs w:val="24"/>
        </w:rPr>
        <w:t xml:space="preserve">Commissioned </w:t>
      </w:r>
      <w:r w:rsidR="002951A6" w:rsidRPr="00277397">
        <w:rPr>
          <w:rFonts w:ascii="Times New Roman" w:hAnsi="Times New Roman" w:cs="Times New Roman"/>
          <w:b/>
          <w:sz w:val="24"/>
          <w:szCs w:val="24"/>
        </w:rPr>
        <w:t>Work.</w:t>
      </w:r>
    </w:p>
    <w:p w14:paraId="295884E8" w14:textId="77777777" w:rsidR="007771BD" w:rsidRPr="00277397" w:rsidRDefault="007771BD" w:rsidP="007771BD">
      <w:pPr>
        <w:pStyle w:val="NoSpacing"/>
        <w:ind w:left="720"/>
        <w:jc w:val="both"/>
        <w:rPr>
          <w:rFonts w:ascii="Times New Roman" w:hAnsi="Times New Roman" w:cs="Times New Roman"/>
          <w:b/>
          <w:sz w:val="24"/>
          <w:szCs w:val="24"/>
        </w:rPr>
      </w:pPr>
    </w:p>
    <w:p w14:paraId="43EF73D9" w14:textId="77777777" w:rsidR="00B02400" w:rsidRPr="00277397" w:rsidRDefault="00B02400" w:rsidP="00B02400">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By treating certain works dif</w:t>
      </w:r>
      <w:r w:rsidR="00DF23A8">
        <w:rPr>
          <w:rFonts w:ascii="Times New Roman" w:hAnsi="Times New Roman" w:cs="Times New Roman"/>
          <w:sz w:val="24"/>
          <w:szCs w:val="24"/>
        </w:rPr>
        <w:t xml:space="preserve">ferently, Congress expresses </w:t>
      </w:r>
      <w:r w:rsidR="00720FFE">
        <w:rPr>
          <w:rFonts w:ascii="Times New Roman" w:hAnsi="Times New Roman" w:cs="Times New Roman"/>
          <w:sz w:val="24"/>
          <w:szCs w:val="24"/>
        </w:rPr>
        <w:t>intent</w:t>
      </w:r>
      <w:r w:rsidRPr="00277397">
        <w:rPr>
          <w:rFonts w:ascii="Times New Roman" w:hAnsi="Times New Roman" w:cs="Times New Roman"/>
          <w:sz w:val="24"/>
          <w:szCs w:val="24"/>
        </w:rPr>
        <w:t xml:space="preserve"> to apply</w:t>
      </w:r>
      <w:r w:rsidR="008F2F47" w:rsidRPr="00277397">
        <w:rPr>
          <w:rFonts w:ascii="Times New Roman" w:hAnsi="Times New Roman" w:cs="Times New Roman"/>
          <w:sz w:val="24"/>
          <w:szCs w:val="24"/>
        </w:rPr>
        <w:t xml:space="preserve"> extra protections to authors of commissioned works as opposed to works by</w:t>
      </w:r>
      <w:r w:rsidRPr="00277397">
        <w:rPr>
          <w:rFonts w:ascii="Times New Roman" w:hAnsi="Times New Roman" w:cs="Times New Roman"/>
          <w:sz w:val="24"/>
          <w:szCs w:val="24"/>
        </w:rPr>
        <w:t xml:space="preserve"> employees.  This intent is magnified by the legislative history, which requires that in order to be considered “made for hire,” a written agreement must precede the commissioned work.</w:t>
      </w:r>
    </w:p>
    <w:p w14:paraId="543C352E" w14:textId="77777777" w:rsidR="004E3038" w:rsidRPr="00277397" w:rsidRDefault="00C20731" w:rsidP="00FC7028">
      <w:pPr>
        <w:pStyle w:val="NoSpacing"/>
        <w:spacing w:line="480" w:lineRule="auto"/>
        <w:ind w:firstLine="720"/>
        <w:jc w:val="both"/>
        <w:rPr>
          <w:rFonts w:ascii="Times New Roman" w:hAnsi="Times New Roman" w:cs="Times New Roman"/>
          <w:b/>
          <w:sz w:val="24"/>
          <w:szCs w:val="24"/>
        </w:rPr>
      </w:pPr>
      <w:r w:rsidRPr="00277397">
        <w:rPr>
          <w:rFonts w:ascii="Times New Roman" w:hAnsi="Times New Roman" w:cs="Times New Roman"/>
          <w:sz w:val="24"/>
          <w:szCs w:val="24"/>
        </w:rPr>
        <w:t xml:space="preserve">After </w:t>
      </w:r>
      <w:r w:rsidR="00022884" w:rsidRPr="00277397">
        <w:rPr>
          <w:rFonts w:ascii="Times New Roman" w:hAnsi="Times New Roman" w:cs="Times New Roman"/>
          <w:sz w:val="24"/>
          <w:szCs w:val="24"/>
        </w:rPr>
        <w:t xml:space="preserve">first </w:t>
      </w:r>
      <w:r w:rsidRPr="00277397">
        <w:rPr>
          <w:rFonts w:ascii="Times New Roman" w:hAnsi="Times New Roman" w:cs="Times New Roman"/>
          <w:sz w:val="24"/>
          <w:szCs w:val="24"/>
        </w:rPr>
        <w:t>interpreting the plain meaning of a statute, the court looks to Congressional intent</w:t>
      </w:r>
      <w:r w:rsidR="0016404F" w:rsidRPr="00277397">
        <w:rPr>
          <w:rFonts w:ascii="Times New Roman" w:hAnsi="Times New Roman" w:cs="Times New Roman"/>
          <w:sz w:val="24"/>
          <w:szCs w:val="24"/>
        </w:rPr>
        <w:t xml:space="preserve"> to </w:t>
      </w:r>
      <w:r w:rsidR="00711758" w:rsidRPr="00277397">
        <w:rPr>
          <w:rFonts w:ascii="Times New Roman" w:hAnsi="Times New Roman" w:cs="Times New Roman"/>
          <w:sz w:val="24"/>
          <w:szCs w:val="24"/>
        </w:rPr>
        <w:t>determine the meaning of a statute</w:t>
      </w:r>
      <w:r w:rsidR="00400ED0" w:rsidRPr="00277397">
        <w:rPr>
          <w:rFonts w:ascii="Times New Roman" w:hAnsi="Times New Roman" w:cs="Times New Roman"/>
          <w:sz w:val="24"/>
          <w:szCs w:val="24"/>
        </w:rPr>
        <w:t xml:space="preserve"> if the statute is ambiguous</w:t>
      </w:r>
      <w:r w:rsidR="00022884" w:rsidRPr="00277397">
        <w:rPr>
          <w:rFonts w:ascii="Times New Roman" w:hAnsi="Times New Roman" w:cs="Times New Roman"/>
          <w:sz w:val="24"/>
          <w:szCs w:val="24"/>
        </w:rPr>
        <w:t>.</w:t>
      </w:r>
      <w:r w:rsidR="003016B2">
        <w:rPr>
          <w:rFonts w:ascii="Times New Roman" w:hAnsi="Times New Roman" w:cs="Times New Roman"/>
          <w:sz w:val="24"/>
          <w:szCs w:val="24"/>
        </w:rPr>
        <w:t xml:space="preserve">  </w:t>
      </w:r>
      <w:bookmarkStart w:id="49" w:name="CITRUS_BOOKMARK191"/>
      <w:r w:rsidR="003016B2" w:rsidRPr="00C2432F">
        <w:rPr>
          <w:rFonts w:ascii="Times New Roman" w:hAnsi="Times New Roman" w:cs="Times New Roman"/>
          <w:sz w:val="24"/>
          <w:szCs w:val="24"/>
          <w:u w:val="single"/>
        </w:rPr>
        <w:t>Gonzales v. Oregon¸ 546 U.S.</w:t>
      </w:r>
      <w:r w:rsidR="003016B2" w:rsidRPr="00944768">
        <w:rPr>
          <w:rFonts w:ascii="Times New Roman" w:hAnsi="Times New Roman" w:cs="Times New Roman"/>
          <w:sz w:val="24"/>
          <w:szCs w:val="24"/>
        </w:rPr>
        <w:t xml:space="preserve"> 243, 257-58 (2006)</w:t>
      </w:r>
      <w:bookmarkEnd w:id="49"/>
      <w:r w:rsidR="00720FFE">
        <w:rPr>
          <w:rFonts w:ascii="Times New Roman" w:hAnsi="Times New Roman" w:cs="Times New Roman"/>
          <w:sz w:val="24"/>
          <w:szCs w:val="24"/>
        </w:rPr>
        <w:t>;</w:t>
      </w:r>
      <w:r w:rsidR="00904FD0" w:rsidRPr="00277397">
        <w:rPr>
          <w:rFonts w:ascii="Times New Roman" w:hAnsi="Times New Roman" w:cs="Times New Roman"/>
          <w:sz w:val="24"/>
          <w:szCs w:val="24"/>
        </w:rPr>
        <w:t xml:space="preserve"> </w:t>
      </w:r>
      <w:bookmarkStart w:id="50" w:name="CITRUS_BOOKMARK140"/>
      <w:r w:rsidR="00400ED0" w:rsidRPr="00944768">
        <w:rPr>
          <w:rFonts w:ascii="Times New Roman" w:hAnsi="Times New Roman" w:cs="Times New Roman"/>
          <w:sz w:val="24"/>
          <w:szCs w:val="24"/>
          <w:u w:val="single"/>
        </w:rPr>
        <w:t xml:space="preserve">Zuni Pub. Sch. Dist. No. 89 v. </w:t>
      </w:r>
      <w:r w:rsidR="00400ED0" w:rsidRPr="00C2432F">
        <w:rPr>
          <w:rFonts w:ascii="Times New Roman" w:hAnsi="Times New Roman" w:cs="Times New Roman"/>
          <w:sz w:val="24"/>
          <w:szCs w:val="24"/>
          <w:u w:val="single"/>
        </w:rPr>
        <w:t>Dep't of Educ.</w:t>
      </w:r>
      <w:r w:rsidR="00400ED0" w:rsidRPr="00944768">
        <w:rPr>
          <w:rFonts w:ascii="Times New Roman" w:hAnsi="Times New Roman" w:cs="Times New Roman"/>
          <w:sz w:val="24"/>
          <w:szCs w:val="24"/>
        </w:rPr>
        <w:t>, 550 U.S. 81, 93 (2007)</w:t>
      </w:r>
      <w:bookmarkEnd w:id="50"/>
      <w:r w:rsidR="00BD63A3" w:rsidRPr="00277397">
        <w:rPr>
          <w:rFonts w:ascii="Times New Roman" w:hAnsi="Times New Roman" w:cs="Times New Roman"/>
          <w:sz w:val="24"/>
          <w:szCs w:val="24"/>
        </w:rPr>
        <w:t xml:space="preserve">.  </w:t>
      </w:r>
      <w:r w:rsidR="002951A6" w:rsidRPr="00277397">
        <w:rPr>
          <w:rFonts w:ascii="Times New Roman" w:hAnsi="Times New Roman" w:cs="Times New Roman"/>
          <w:sz w:val="24"/>
          <w:szCs w:val="24"/>
        </w:rPr>
        <w:t xml:space="preserve">Congressional intent is illustrated in the </w:t>
      </w:r>
      <w:r w:rsidR="00BD63A3" w:rsidRPr="00277397">
        <w:rPr>
          <w:rFonts w:ascii="Times New Roman" w:hAnsi="Times New Roman" w:cs="Times New Roman"/>
          <w:sz w:val="24"/>
          <w:szCs w:val="24"/>
        </w:rPr>
        <w:t xml:space="preserve">legislative </w:t>
      </w:r>
      <w:r w:rsidR="00711758" w:rsidRPr="00277397">
        <w:rPr>
          <w:rFonts w:ascii="Times New Roman" w:hAnsi="Times New Roman" w:cs="Times New Roman"/>
          <w:sz w:val="24"/>
          <w:szCs w:val="24"/>
        </w:rPr>
        <w:t xml:space="preserve">history </w:t>
      </w:r>
      <w:r w:rsidRPr="00277397">
        <w:rPr>
          <w:rFonts w:ascii="Times New Roman" w:hAnsi="Times New Roman" w:cs="Times New Roman"/>
          <w:sz w:val="24"/>
          <w:szCs w:val="24"/>
        </w:rPr>
        <w:t>surrounding the</w:t>
      </w:r>
      <w:r w:rsidR="00400ED0" w:rsidRPr="00277397">
        <w:rPr>
          <w:rFonts w:ascii="Times New Roman" w:hAnsi="Times New Roman" w:cs="Times New Roman"/>
          <w:sz w:val="24"/>
          <w:szCs w:val="24"/>
        </w:rPr>
        <w:t xml:space="preserve"> Copyright Act.</w:t>
      </w:r>
      <w:r w:rsidR="003B21D8" w:rsidRPr="00277397">
        <w:rPr>
          <w:rFonts w:ascii="Times New Roman" w:hAnsi="Times New Roman" w:cs="Times New Roman"/>
          <w:sz w:val="24"/>
          <w:szCs w:val="24"/>
        </w:rPr>
        <w:t xml:space="preserve">  </w:t>
      </w:r>
      <w:bookmarkStart w:id="51" w:name="Psych_Cite_477"/>
      <w:r w:rsidR="003B21D8" w:rsidRPr="00277397">
        <w:rPr>
          <w:rFonts w:ascii="Times New Roman" w:hAnsi="Times New Roman" w:cs="Times New Roman"/>
          <w:i/>
          <w:sz w:val="24"/>
          <w:szCs w:val="24"/>
        </w:rPr>
        <w:t>See</w:t>
      </w:r>
      <w:r w:rsidR="00400ED0" w:rsidRPr="00277397">
        <w:rPr>
          <w:rFonts w:ascii="Times New Roman" w:hAnsi="Times New Roman" w:cs="Times New Roman"/>
          <w:sz w:val="24"/>
          <w:szCs w:val="24"/>
        </w:rPr>
        <w:t xml:space="preserve"> </w:t>
      </w:r>
      <w:r w:rsidR="00921380" w:rsidRPr="00277397">
        <w:rPr>
          <w:rFonts w:ascii="Times New Roman" w:hAnsi="Times New Roman" w:cs="Times New Roman"/>
          <w:sz w:val="24"/>
          <w:szCs w:val="24"/>
          <w:u w:val="single"/>
        </w:rPr>
        <w:t>Safeco Ins. Co. of Am. v. Burr</w:t>
      </w:r>
      <w:r w:rsidR="00921380" w:rsidRPr="00277397">
        <w:rPr>
          <w:rFonts w:ascii="Times New Roman" w:hAnsi="Times New Roman" w:cs="Times New Roman"/>
          <w:sz w:val="24"/>
          <w:szCs w:val="24"/>
        </w:rPr>
        <w:t xml:space="preserve">, </w:t>
      </w:r>
      <w:r w:rsidR="00400ED0" w:rsidRPr="00277397">
        <w:rPr>
          <w:rFonts w:ascii="Times New Roman" w:hAnsi="Times New Roman" w:cs="Times New Roman"/>
          <w:sz w:val="24"/>
          <w:szCs w:val="24"/>
        </w:rPr>
        <w:t>551 U.S. 47</w:t>
      </w:r>
      <w:r w:rsidR="00921380" w:rsidRPr="00277397">
        <w:rPr>
          <w:rFonts w:ascii="Times New Roman" w:hAnsi="Times New Roman" w:cs="Times New Roman"/>
          <w:sz w:val="24"/>
          <w:szCs w:val="24"/>
        </w:rPr>
        <w:t xml:space="preserve"> (2007)</w:t>
      </w:r>
      <w:bookmarkEnd w:id="51"/>
      <w:r w:rsidR="00921380" w:rsidRPr="00277397">
        <w:rPr>
          <w:rFonts w:ascii="Times New Roman" w:hAnsi="Times New Roman" w:cs="Times New Roman"/>
          <w:sz w:val="24"/>
          <w:szCs w:val="24"/>
        </w:rPr>
        <w:t xml:space="preserve">.  </w:t>
      </w:r>
      <w:r w:rsidR="00BD63A3" w:rsidRPr="00277397">
        <w:rPr>
          <w:rFonts w:ascii="Times New Roman" w:hAnsi="Times New Roman" w:cs="Times New Roman"/>
          <w:sz w:val="24"/>
          <w:szCs w:val="24"/>
        </w:rPr>
        <w:t>This history</w:t>
      </w:r>
      <w:r w:rsidRPr="00277397">
        <w:rPr>
          <w:rFonts w:ascii="Times New Roman" w:hAnsi="Times New Roman" w:cs="Times New Roman"/>
          <w:sz w:val="24"/>
          <w:szCs w:val="24"/>
        </w:rPr>
        <w:t xml:space="preserve"> demonstrates </w:t>
      </w:r>
      <w:r w:rsidR="003B21D8" w:rsidRPr="00277397">
        <w:rPr>
          <w:rFonts w:ascii="Times New Roman" w:hAnsi="Times New Roman" w:cs="Times New Roman"/>
          <w:sz w:val="24"/>
          <w:szCs w:val="24"/>
        </w:rPr>
        <w:t>C</w:t>
      </w:r>
      <w:r w:rsidRPr="00277397">
        <w:rPr>
          <w:rFonts w:ascii="Times New Roman" w:hAnsi="Times New Roman" w:cs="Times New Roman"/>
          <w:sz w:val="24"/>
          <w:szCs w:val="24"/>
        </w:rPr>
        <w:t xml:space="preserve">ongress </w:t>
      </w:r>
      <w:r w:rsidR="00BD63A3" w:rsidRPr="00277397">
        <w:rPr>
          <w:rFonts w:ascii="Times New Roman" w:hAnsi="Times New Roman" w:cs="Times New Roman"/>
          <w:sz w:val="24"/>
          <w:szCs w:val="24"/>
        </w:rPr>
        <w:t>intend</w:t>
      </w:r>
      <w:r w:rsidR="00C77376" w:rsidRPr="00277397">
        <w:rPr>
          <w:rFonts w:ascii="Times New Roman" w:hAnsi="Times New Roman" w:cs="Times New Roman"/>
          <w:sz w:val="24"/>
          <w:szCs w:val="24"/>
        </w:rPr>
        <w:t xml:space="preserve">ed </w:t>
      </w:r>
      <w:r w:rsidR="00AE324A" w:rsidRPr="00277397">
        <w:rPr>
          <w:rFonts w:ascii="Times New Roman" w:hAnsi="Times New Roman" w:cs="Times New Roman"/>
          <w:sz w:val="24"/>
          <w:szCs w:val="24"/>
        </w:rPr>
        <w:t xml:space="preserve">that </w:t>
      </w:r>
      <w:r w:rsidR="00C77376" w:rsidRPr="00277397">
        <w:rPr>
          <w:rFonts w:ascii="Times New Roman" w:hAnsi="Times New Roman" w:cs="Times New Roman"/>
          <w:sz w:val="24"/>
          <w:szCs w:val="24"/>
        </w:rPr>
        <w:t>a “made for hire” written agreement precede the creation of a commissioned work.</w:t>
      </w:r>
    </w:p>
    <w:p w14:paraId="24D10E63" w14:textId="77777777" w:rsidR="00FC7028" w:rsidRPr="00277397" w:rsidRDefault="00720FFE" w:rsidP="00FC7028">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 xml:space="preserve">Throughout </w:t>
      </w:r>
      <w:r>
        <w:rPr>
          <w:rFonts w:ascii="Times New Roman" w:hAnsi="Times New Roman" w:cs="Times New Roman"/>
          <w:sz w:val="24"/>
          <w:szCs w:val="24"/>
        </w:rPr>
        <w:t xml:space="preserve">the </w:t>
      </w:r>
      <w:r w:rsidRPr="00277397">
        <w:rPr>
          <w:rFonts w:ascii="Times New Roman" w:hAnsi="Times New Roman" w:cs="Times New Roman"/>
          <w:sz w:val="24"/>
          <w:szCs w:val="24"/>
        </w:rPr>
        <w:t>history</w:t>
      </w:r>
      <w:r>
        <w:rPr>
          <w:rFonts w:ascii="Times New Roman" w:hAnsi="Times New Roman" w:cs="Times New Roman"/>
          <w:sz w:val="24"/>
          <w:szCs w:val="24"/>
        </w:rPr>
        <w:t xml:space="preserve"> of American copyright law</w:t>
      </w:r>
      <w:r w:rsidRPr="00277397">
        <w:rPr>
          <w:rFonts w:ascii="Times New Roman" w:hAnsi="Times New Roman" w:cs="Times New Roman"/>
          <w:sz w:val="24"/>
          <w:szCs w:val="24"/>
        </w:rPr>
        <w:t>, Congress sought to strengthen the rights of authors.</w:t>
      </w:r>
      <w:r>
        <w:rPr>
          <w:rFonts w:ascii="Times New Roman" w:hAnsi="Times New Roman" w:cs="Times New Roman"/>
          <w:sz w:val="24"/>
          <w:szCs w:val="24"/>
        </w:rPr>
        <w:t xml:space="preserve">  </w:t>
      </w:r>
      <w:r w:rsidRPr="00277397">
        <w:rPr>
          <w:rFonts w:ascii="Times New Roman" w:hAnsi="Times New Roman" w:cs="Times New Roman"/>
          <w:sz w:val="24"/>
          <w:szCs w:val="24"/>
        </w:rPr>
        <w:t>In 1790, Congress</w:t>
      </w:r>
      <w:r>
        <w:rPr>
          <w:rFonts w:ascii="Times New Roman" w:hAnsi="Times New Roman" w:cs="Times New Roman"/>
          <w:sz w:val="24"/>
          <w:szCs w:val="24"/>
        </w:rPr>
        <w:t xml:space="preserve"> enacted copyright law</w:t>
      </w:r>
      <w:r w:rsidRPr="00277397">
        <w:rPr>
          <w:rFonts w:ascii="Times New Roman" w:hAnsi="Times New Roman" w:cs="Times New Roman"/>
          <w:sz w:val="24"/>
          <w:szCs w:val="24"/>
        </w:rPr>
        <w:t xml:space="preserve"> </w:t>
      </w:r>
      <w:r>
        <w:rPr>
          <w:rFonts w:ascii="Times New Roman" w:hAnsi="Times New Roman" w:cs="Times New Roman"/>
          <w:sz w:val="24"/>
          <w:szCs w:val="24"/>
        </w:rPr>
        <w:t>to achieve their purpose of promoting</w:t>
      </w:r>
      <w:r w:rsidRPr="00277397">
        <w:rPr>
          <w:rFonts w:ascii="Times New Roman" w:hAnsi="Times New Roman" w:cs="Times New Roman"/>
          <w:sz w:val="24"/>
          <w:szCs w:val="24"/>
        </w:rPr>
        <w:t xml:space="preserve"> science and useful arts by protecting authors and inventors.</w:t>
      </w:r>
      <w:r w:rsidR="008C1BDB">
        <w:rPr>
          <w:rFonts w:ascii="Times New Roman" w:hAnsi="Times New Roman" w:cs="Times New Roman"/>
          <w:sz w:val="24"/>
          <w:szCs w:val="24"/>
        </w:rPr>
        <w:t xml:space="preserve">  122 Cong. Rec. 31,978 (1976).  </w:t>
      </w:r>
      <w:r>
        <w:rPr>
          <w:rFonts w:ascii="Times New Roman" w:hAnsi="Times New Roman" w:cs="Times New Roman"/>
          <w:sz w:val="24"/>
          <w:szCs w:val="24"/>
        </w:rPr>
        <w:t>In line with this goal</w:t>
      </w:r>
      <w:r w:rsidR="00971088" w:rsidRPr="00277397">
        <w:rPr>
          <w:rFonts w:ascii="Times New Roman" w:hAnsi="Times New Roman" w:cs="Times New Roman"/>
          <w:sz w:val="24"/>
          <w:szCs w:val="24"/>
        </w:rPr>
        <w:t xml:space="preserve">, Congress sought to provide even greater protections to authors </w:t>
      </w:r>
      <w:r>
        <w:rPr>
          <w:rFonts w:ascii="Times New Roman" w:hAnsi="Times New Roman" w:cs="Times New Roman"/>
          <w:sz w:val="24"/>
          <w:szCs w:val="24"/>
        </w:rPr>
        <w:t xml:space="preserve">in </w:t>
      </w:r>
      <w:r>
        <w:rPr>
          <w:rFonts w:ascii="Times New Roman" w:hAnsi="Times New Roman" w:cs="Times New Roman"/>
          <w:sz w:val="24"/>
          <w:szCs w:val="24"/>
        </w:rPr>
        <w:lastRenderedPageBreak/>
        <w:t xml:space="preserve">1976 </w:t>
      </w:r>
      <w:r w:rsidR="00971088" w:rsidRPr="00277397">
        <w:rPr>
          <w:rFonts w:ascii="Times New Roman" w:hAnsi="Times New Roman" w:cs="Times New Roman"/>
          <w:sz w:val="24"/>
          <w:szCs w:val="24"/>
        </w:rPr>
        <w:t>when it changed the maximum term of copyright protection from fifty-six years to the life of the author plus fifty years, extended copyright protection to areas previously not included, and increase minimum royalty rates</w:t>
      </w:r>
      <w:r w:rsidR="00971088" w:rsidRPr="008C1BDB">
        <w:rPr>
          <w:rFonts w:ascii="Times New Roman" w:hAnsi="Times New Roman" w:cs="Times New Roman"/>
          <w:sz w:val="24"/>
          <w:szCs w:val="24"/>
        </w:rPr>
        <w:t>.</w:t>
      </w:r>
      <w:r w:rsidR="008C1BDB">
        <w:rPr>
          <w:rFonts w:ascii="Times New Roman" w:hAnsi="Times New Roman" w:cs="Times New Roman"/>
          <w:sz w:val="24"/>
          <w:szCs w:val="24"/>
        </w:rPr>
        <w:t xml:space="preserve">  122 Cong. Rec. 31,979.  </w:t>
      </w:r>
      <w:r w:rsidRPr="00277397">
        <w:rPr>
          <w:rFonts w:ascii="Times New Roman" w:hAnsi="Times New Roman" w:cs="Times New Roman"/>
          <w:sz w:val="24"/>
          <w:szCs w:val="24"/>
        </w:rPr>
        <w:t>As technology progressed, Congress amended copyright law to provide protections for more types of works.</w:t>
      </w:r>
      <w:r w:rsidR="008C1BDB">
        <w:rPr>
          <w:rFonts w:ascii="Times New Roman" w:hAnsi="Times New Roman" w:cs="Times New Roman"/>
          <w:sz w:val="24"/>
          <w:szCs w:val="24"/>
        </w:rPr>
        <w:t xml:space="preserve">  </w:t>
      </w:r>
      <w:r w:rsidR="008C1BDB">
        <w:rPr>
          <w:rFonts w:ascii="Times New Roman" w:hAnsi="Times New Roman" w:cs="Times New Roman"/>
          <w:sz w:val="24"/>
          <w:szCs w:val="24"/>
          <w:u w:val="single"/>
        </w:rPr>
        <w:t>Id</w:t>
      </w:r>
      <w:r w:rsidR="008C1BDB">
        <w:rPr>
          <w:rFonts w:ascii="Times New Roman" w:hAnsi="Times New Roman" w:cs="Times New Roman"/>
          <w:sz w:val="24"/>
          <w:szCs w:val="24"/>
        </w:rPr>
        <w:t xml:space="preserve">. at 31,978.  </w:t>
      </w:r>
      <w:r w:rsidR="00FC7028" w:rsidRPr="00277397">
        <w:rPr>
          <w:rFonts w:ascii="Times New Roman" w:hAnsi="Times New Roman" w:cs="Times New Roman"/>
          <w:sz w:val="24"/>
          <w:szCs w:val="24"/>
        </w:rPr>
        <w:t xml:space="preserve">Congress’ development of modern copyright law shows a trend of providing the utmost care for authors.  </w:t>
      </w:r>
      <w:r w:rsidR="00400EEE" w:rsidRPr="00277397">
        <w:rPr>
          <w:rFonts w:ascii="Times New Roman" w:hAnsi="Times New Roman" w:cs="Times New Roman"/>
          <w:sz w:val="24"/>
          <w:szCs w:val="24"/>
        </w:rPr>
        <w:t xml:space="preserve">While Congress seeks to </w:t>
      </w:r>
      <w:r w:rsidR="00FC7028" w:rsidRPr="00277397">
        <w:rPr>
          <w:rFonts w:ascii="Times New Roman" w:hAnsi="Times New Roman" w:cs="Times New Roman"/>
          <w:sz w:val="24"/>
          <w:szCs w:val="24"/>
        </w:rPr>
        <w:t>expand the rights of authors and provide them protections from groups such as studios and publishing companies</w:t>
      </w:r>
      <w:r w:rsidR="00400EEE" w:rsidRPr="00277397">
        <w:rPr>
          <w:rFonts w:ascii="Times New Roman" w:hAnsi="Times New Roman" w:cs="Times New Roman"/>
          <w:sz w:val="24"/>
          <w:szCs w:val="24"/>
        </w:rPr>
        <w:t xml:space="preserve">, OGS seeks to </w:t>
      </w:r>
      <w:r w:rsidR="00FC7028" w:rsidRPr="00277397">
        <w:rPr>
          <w:rFonts w:ascii="Times New Roman" w:hAnsi="Times New Roman" w:cs="Times New Roman"/>
          <w:sz w:val="24"/>
          <w:szCs w:val="24"/>
        </w:rPr>
        <w:t>limit the rights of authors by weakening the Copyright Act’s application to commissioned works</w:t>
      </w:r>
      <w:r w:rsidR="008F2F47" w:rsidRPr="00277397">
        <w:rPr>
          <w:rFonts w:ascii="Times New Roman" w:hAnsi="Times New Roman" w:cs="Times New Roman"/>
          <w:sz w:val="24"/>
          <w:szCs w:val="24"/>
        </w:rPr>
        <w:t xml:space="preserve">.  </w:t>
      </w:r>
    </w:p>
    <w:p w14:paraId="0321BC4B" w14:textId="77777777" w:rsidR="005503B8" w:rsidRPr="00277397" w:rsidRDefault="005825BB" w:rsidP="00FC7028">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 xml:space="preserve">In a 1975 </w:t>
      </w:r>
      <w:r w:rsidRPr="00277397">
        <w:rPr>
          <w:rFonts w:ascii="Times New Roman" w:hAnsi="Times New Roman" w:cs="Times New Roman"/>
          <w:sz w:val="24"/>
          <w:szCs w:val="24"/>
          <w:u w:val="single"/>
        </w:rPr>
        <w:t>Report on the General Revision of the U.S. Copyright Law</w:t>
      </w:r>
      <w:r w:rsidRPr="00277397">
        <w:rPr>
          <w:rFonts w:ascii="Times New Roman" w:hAnsi="Times New Roman" w:cs="Times New Roman"/>
          <w:sz w:val="24"/>
          <w:szCs w:val="24"/>
        </w:rPr>
        <w:t>, Congress</w:t>
      </w:r>
      <w:r w:rsidR="00FC7028" w:rsidRPr="00277397">
        <w:rPr>
          <w:rFonts w:ascii="Times New Roman" w:hAnsi="Times New Roman" w:cs="Times New Roman"/>
          <w:sz w:val="24"/>
          <w:szCs w:val="24"/>
        </w:rPr>
        <w:t xml:space="preserve"> echoed </w:t>
      </w:r>
      <w:r w:rsidR="00DF23A8">
        <w:rPr>
          <w:rFonts w:ascii="Times New Roman" w:hAnsi="Times New Roman" w:cs="Times New Roman"/>
          <w:sz w:val="24"/>
          <w:szCs w:val="24"/>
        </w:rPr>
        <w:t xml:space="preserve">its </w:t>
      </w:r>
      <w:r w:rsidR="00FC7028" w:rsidRPr="00277397">
        <w:rPr>
          <w:rFonts w:ascii="Times New Roman" w:hAnsi="Times New Roman" w:cs="Times New Roman"/>
          <w:sz w:val="24"/>
          <w:szCs w:val="24"/>
        </w:rPr>
        <w:t>words from 1790 by</w:t>
      </w:r>
      <w:r w:rsidR="00DF23A8">
        <w:rPr>
          <w:rFonts w:ascii="Times New Roman" w:hAnsi="Times New Roman" w:cs="Times New Roman"/>
          <w:sz w:val="24"/>
          <w:szCs w:val="24"/>
        </w:rPr>
        <w:t xml:space="preserve"> expressly stating</w:t>
      </w:r>
      <w:r w:rsidRPr="00277397">
        <w:rPr>
          <w:rFonts w:ascii="Times New Roman" w:hAnsi="Times New Roman" w:cs="Times New Roman"/>
          <w:sz w:val="24"/>
          <w:szCs w:val="24"/>
        </w:rPr>
        <w:t xml:space="preserve"> that the purpose </w:t>
      </w:r>
      <w:r w:rsidR="0014214E" w:rsidRPr="00277397">
        <w:rPr>
          <w:rFonts w:ascii="Times New Roman" w:hAnsi="Times New Roman" w:cs="Times New Roman"/>
          <w:sz w:val="24"/>
          <w:szCs w:val="24"/>
        </w:rPr>
        <w:t>of revising copyright law was</w:t>
      </w:r>
      <w:r w:rsidRPr="00277397">
        <w:rPr>
          <w:rFonts w:ascii="Times New Roman" w:hAnsi="Times New Roman" w:cs="Times New Roman"/>
          <w:sz w:val="24"/>
          <w:szCs w:val="24"/>
        </w:rPr>
        <w:t xml:space="preserve"> to provide a “good, clear, practical copyright law that will reward authors and thereby encourage and arts and humanities.”  </w:t>
      </w:r>
      <w:r w:rsidRPr="00277397">
        <w:rPr>
          <w:rFonts w:ascii="Times New Roman" w:hAnsi="Times New Roman" w:cs="Times New Roman"/>
          <w:sz w:val="24"/>
          <w:szCs w:val="24"/>
          <w:u w:val="single"/>
        </w:rPr>
        <w:t xml:space="preserve">Second Supp. Register's Rep. on the </w:t>
      </w:r>
      <w:bookmarkStart w:id="52" w:name="CITRUS_BOOKMARK1000000106"/>
      <w:r w:rsidRPr="00944768">
        <w:rPr>
          <w:rFonts w:ascii="Times New Roman" w:hAnsi="Times New Roman" w:cs="Times New Roman"/>
          <w:sz w:val="24"/>
          <w:szCs w:val="24"/>
          <w:u w:val="single"/>
        </w:rPr>
        <w:t>General Revision of the U.S. Copyright Law, 94</w:t>
      </w:r>
      <w:bookmarkEnd w:id="52"/>
      <w:r w:rsidRPr="00277397">
        <w:rPr>
          <w:rFonts w:ascii="Times New Roman" w:hAnsi="Times New Roman" w:cs="Times New Roman"/>
          <w:sz w:val="24"/>
          <w:szCs w:val="24"/>
          <w:vertAlign w:val="superscript"/>
        </w:rPr>
        <w:t>th</w:t>
      </w:r>
      <w:r w:rsidRPr="00277397">
        <w:rPr>
          <w:rFonts w:ascii="Times New Roman" w:hAnsi="Times New Roman" w:cs="Times New Roman"/>
          <w:sz w:val="24"/>
          <w:szCs w:val="24"/>
        </w:rPr>
        <w:t xml:space="preserve"> Cong., 1</w:t>
      </w:r>
      <w:r w:rsidRPr="00277397">
        <w:rPr>
          <w:rFonts w:ascii="Times New Roman" w:hAnsi="Times New Roman" w:cs="Times New Roman"/>
          <w:sz w:val="24"/>
          <w:szCs w:val="24"/>
          <w:vertAlign w:val="superscript"/>
        </w:rPr>
        <w:t>st</w:t>
      </w:r>
      <w:r w:rsidR="00144B5A">
        <w:rPr>
          <w:rFonts w:ascii="Times New Roman" w:hAnsi="Times New Roman" w:cs="Times New Roman"/>
          <w:sz w:val="24"/>
          <w:szCs w:val="24"/>
        </w:rPr>
        <w:t xml:space="preserve"> Sess., </w:t>
      </w:r>
      <w:r w:rsidRPr="00277397">
        <w:rPr>
          <w:rFonts w:ascii="Times New Roman" w:hAnsi="Times New Roman" w:cs="Times New Roman"/>
          <w:sz w:val="24"/>
          <w:szCs w:val="24"/>
        </w:rPr>
        <w:t xml:space="preserve"> XIII (H.R. Comm. Print 1975).  In order to provide such a law and </w:t>
      </w:r>
      <w:r w:rsidR="00F33DEF" w:rsidRPr="00277397">
        <w:rPr>
          <w:rFonts w:ascii="Times New Roman" w:hAnsi="Times New Roman" w:cs="Times New Roman"/>
          <w:sz w:val="24"/>
          <w:szCs w:val="24"/>
        </w:rPr>
        <w:t>address the different needs of authors and studios, Congres</w:t>
      </w:r>
      <w:r w:rsidRPr="00277397">
        <w:rPr>
          <w:rFonts w:ascii="Times New Roman" w:hAnsi="Times New Roman" w:cs="Times New Roman"/>
          <w:sz w:val="24"/>
          <w:szCs w:val="24"/>
        </w:rPr>
        <w:t>s</w:t>
      </w:r>
      <w:r w:rsidR="00F33DEF" w:rsidRPr="00277397">
        <w:rPr>
          <w:rFonts w:ascii="Times New Roman" w:hAnsi="Times New Roman" w:cs="Times New Roman"/>
          <w:sz w:val="24"/>
          <w:szCs w:val="24"/>
        </w:rPr>
        <w:t xml:space="preserve"> balanced the competing interests by </w:t>
      </w:r>
      <w:r w:rsidR="005503B8" w:rsidRPr="00277397">
        <w:rPr>
          <w:rFonts w:ascii="Times New Roman" w:hAnsi="Times New Roman" w:cs="Times New Roman"/>
          <w:sz w:val="24"/>
          <w:szCs w:val="24"/>
        </w:rPr>
        <w:t>enacting</w:t>
      </w:r>
      <w:r w:rsidR="00F33DEF" w:rsidRPr="00277397">
        <w:rPr>
          <w:rFonts w:ascii="Times New Roman" w:hAnsi="Times New Roman" w:cs="Times New Roman"/>
          <w:sz w:val="24"/>
          <w:szCs w:val="24"/>
        </w:rPr>
        <w:t xml:space="preserve"> a compromise</w:t>
      </w:r>
      <w:r w:rsidR="003B21D8" w:rsidRPr="00277397">
        <w:rPr>
          <w:rFonts w:ascii="Times New Roman" w:hAnsi="Times New Roman" w:cs="Times New Roman"/>
          <w:sz w:val="24"/>
          <w:szCs w:val="24"/>
        </w:rPr>
        <w:t xml:space="preserve"> that allowed specially ordered or commission works to be considered “made for hire” under certain circumstances</w:t>
      </w:r>
      <w:r w:rsidR="00F33DEF" w:rsidRPr="00277397">
        <w:rPr>
          <w:rFonts w:ascii="Times New Roman" w:hAnsi="Times New Roman" w:cs="Times New Roman"/>
          <w:sz w:val="24"/>
          <w:szCs w:val="24"/>
        </w:rPr>
        <w:t>.</w:t>
      </w:r>
      <w:r w:rsidR="003016B2">
        <w:rPr>
          <w:rFonts w:ascii="Times New Roman" w:hAnsi="Times New Roman" w:cs="Times New Roman"/>
          <w:sz w:val="24"/>
          <w:szCs w:val="24"/>
        </w:rPr>
        <w:t xml:space="preserve">  </w:t>
      </w:r>
      <w:r w:rsidR="005503B8" w:rsidRPr="00277397">
        <w:rPr>
          <w:rFonts w:ascii="Times New Roman" w:hAnsi="Times New Roman" w:cs="Times New Roman"/>
          <w:sz w:val="24"/>
          <w:szCs w:val="24"/>
        </w:rPr>
        <w:t xml:space="preserve">H.R. Conf. Rep. No. 94-1476 at 5737-38 (1976).  </w:t>
      </w:r>
    </w:p>
    <w:p w14:paraId="404131EF" w14:textId="77777777" w:rsidR="008961EE" w:rsidRPr="00277397" w:rsidRDefault="003B21D8" w:rsidP="00F432E6">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 xml:space="preserve">During the 1964 Congressional discussion of copyright revision, </w:t>
      </w:r>
      <w:r w:rsidR="0014214E" w:rsidRPr="00277397">
        <w:rPr>
          <w:rFonts w:ascii="Times New Roman" w:hAnsi="Times New Roman" w:cs="Times New Roman"/>
          <w:sz w:val="24"/>
          <w:szCs w:val="24"/>
        </w:rPr>
        <w:t xml:space="preserve">Barbara </w:t>
      </w:r>
      <w:r w:rsidR="00ED39BD" w:rsidRPr="00277397">
        <w:rPr>
          <w:rFonts w:ascii="Times New Roman" w:hAnsi="Times New Roman" w:cs="Times New Roman"/>
          <w:sz w:val="24"/>
          <w:szCs w:val="24"/>
        </w:rPr>
        <w:t>Ringer</w:t>
      </w:r>
      <w:r w:rsidR="0014214E" w:rsidRPr="00277397">
        <w:rPr>
          <w:rFonts w:ascii="Times New Roman" w:hAnsi="Times New Roman" w:cs="Times New Roman"/>
          <w:sz w:val="24"/>
          <w:szCs w:val="24"/>
        </w:rPr>
        <w:t xml:space="preserve"> (Ringer)</w:t>
      </w:r>
      <w:r w:rsidR="00ED39BD" w:rsidRPr="00277397">
        <w:rPr>
          <w:rFonts w:ascii="Times New Roman" w:hAnsi="Times New Roman" w:cs="Times New Roman"/>
          <w:sz w:val="24"/>
          <w:szCs w:val="24"/>
        </w:rPr>
        <w:t>, the Register of Copyrights in the Copyright Office of the Library of Congress, noted that</w:t>
      </w:r>
      <w:r w:rsidR="00A4613F" w:rsidRPr="00277397">
        <w:rPr>
          <w:rFonts w:ascii="Times New Roman" w:hAnsi="Times New Roman" w:cs="Times New Roman"/>
          <w:sz w:val="24"/>
          <w:szCs w:val="24"/>
        </w:rPr>
        <w:t xml:space="preserve"> the preliminary draft seeking to revise United States copyright law defined a “work made for hire” as “a work prepared by an employee within the scope of his duties of his employment, but not including a work made on special order or commission.”  </w:t>
      </w:r>
      <w:r w:rsidR="00A4613F" w:rsidRPr="00277397">
        <w:rPr>
          <w:rFonts w:ascii="Times New Roman" w:hAnsi="Times New Roman" w:cs="Times New Roman"/>
          <w:sz w:val="24"/>
          <w:szCs w:val="24"/>
          <w:u w:val="single"/>
        </w:rPr>
        <w:t>1964 Revision Bill with Discussions and Comments</w:t>
      </w:r>
      <w:r w:rsidR="00A4613F" w:rsidRPr="00277397">
        <w:rPr>
          <w:rFonts w:ascii="Times New Roman" w:hAnsi="Times New Roman" w:cs="Times New Roman"/>
          <w:sz w:val="24"/>
          <w:szCs w:val="24"/>
        </w:rPr>
        <w:t>, 89</w:t>
      </w:r>
      <w:r w:rsidR="00A4613F" w:rsidRPr="00277397">
        <w:rPr>
          <w:rFonts w:ascii="Times New Roman" w:hAnsi="Times New Roman" w:cs="Times New Roman"/>
          <w:sz w:val="24"/>
          <w:szCs w:val="24"/>
          <w:vertAlign w:val="superscript"/>
        </w:rPr>
        <w:t>th</w:t>
      </w:r>
      <w:r w:rsidR="00A4613F" w:rsidRPr="00277397">
        <w:rPr>
          <w:rFonts w:ascii="Times New Roman" w:hAnsi="Times New Roman" w:cs="Times New Roman"/>
          <w:sz w:val="24"/>
          <w:szCs w:val="24"/>
        </w:rPr>
        <w:t xml:space="preserve"> Cong., 1</w:t>
      </w:r>
      <w:r w:rsidR="00A4613F" w:rsidRPr="00277397">
        <w:rPr>
          <w:rFonts w:ascii="Times New Roman" w:hAnsi="Times New Roman" w:cs="Times New Roman"/>
          <w:sz w:val="24"/>
          <w:szCs w:val="24"/>
          <w:vertAlign w:val="superscript"/>
        </w:rPr>
        <w:t>st</w:t>
      </w:r>
      <w:r w:rsidR="00A4613F" w:rsidRPr="00277397">
        <w:rPr>
          <w:rFonts w:ascii="Times New Roman" w:hAnsi="Times New Roman" w:cs="Times New Roman"/>
          <w:sz w:val="24"/>
          <w:szCs w:val="24"/>
        </w:rPr>
        <w:t xml:space="preserve"> Sess., Copyright Law Revision, 144-45 (Statement of </w:t>
      </w:r>
      <w:r w:rsidR="00A4613F" w:rsidRPr="00277397">
        <w:rPr>
          <w:rFonts w:ascii="Times New Roman" w:hAnsi="Times New Roman" w:cs="Times New Roman"/>
          <w:sz w:val="24"/>
          <w:szCs w:val="24"/>
        </w:rPr>
        <w:lastRenderedPageBreak/>
        <w:t xml:space="preserve">Barbara Ringer, Register of Copyrights in the Copyright Office of the Library of Congress) (H.R. Judiciary Comm. Print 1965).  The exclusion of works made on a special order or commission faced harsh criticism because it did not sufficiently address </w:t>
      </w:r>
      <w:r w:rsidR="008961EE" w:rsidRPr="00277397">
        <w:rPr>
          <w:rFonts w:ascii="Times New Roman" w:hAnsi="Times New Roman" w:cs="Times New Roman"/>
          <w:sz w:val="24"/>
          <w:szCs w:val="24"/>
        </w:rPr>
        <w:t>complex relationships between parties</w:t>
      </w:r>
      <w:r w:rsidR="00144B5A">
        <w:rPr>
          <w:rFonts w:ascii="Times New Roman" w:hAnsi="Times New Roman" w:cs="Times New Roman"/>
          <w:sz w:val="24"/>
          <w:szCs w:val="24"/>
        </w:rPr>
        <w:t xml:space="preserve">.  </w:t>
      </w:r>
      <w:r w:rsidR="00144B5A" w:rsidRPr="00144B5A">
        <w:rPr>
          <w:rFonts w:ascii="Times New Roman" w:hAnsi="Times New Roman" w:cs="Times New Roman"/>
          <w:sz w:val="24"/>
          <w:szCs w:val="24"/>
          <w:u w:val="single"/>
        </w:rPr>
        <w:t>1964 Revision Bill with Discussion and Comments</w:t>
      </w:r>
      <w:r w:rsidR="00144B5A">
        <w:rPr>
          <w:rFonts w:ascii="Times New Roman" w:hAnsi="Times New Roman" w:cs="Times New Roman"/>
          <w:sz w:val="24"/>
          <w:szCs w:val="24"/>
        </w:rPr>
        <w:t xml:space="preserve"> at 144-145.  </w:t>
      </w:r>
      <w:r w:rsidR="008961EE" w:rsidRPr="00277397">
        <w:rPr>
          <w:rFonts w:ascii="Times New Roman" w:hAnsi="Times New Roman" w:cs="Times New Roman"/>
          <w:sz w:val="24"/>
          <w:szCs w:val="24"/>
        </w:rPr>
        <w:t>However, rather than simply allow that any work specially ordered or commissioned</w:t>
      </w:r>
      <w:r w:rsidR="003B3CA4" w:rsidRPr="00277397">
        <w:rPr>
          <w:rFonts w:ascii="Times New Roman" w:hAnsi="Times New Roman" w:cs="Times New Roman"/>
          <w:sz w:val="24"/>
          <w:szCs w:val="24"/>
        </w:rPr>
        <w:t xml:space="preserve"> be considered “</w:t>
      </w:r>
      <w:r w:rsidR="00944768">
        <w:rPr>
          <w:rFonts w:ascii="Times New Roman" w:hAnsi="Times New Roman" w:cs="Times New Roman"/>
          <w:sz w:val="24"/>
          <w:szCs w:val="24"/>
        </w:rPr>
        <w:t>made for hire,”</w:t>
      </w:r>
      <w:r w:rsidR="008961EE" w:rsidRPr="00277397">
        <w:rPr>
          <w:rFonts w:ascii="Times New Roman" w:hAnsi="Times New Roman" w:cs="Times New Roman"/>
          <w:sz w:val="24"/>
          <w:szCs w:val="24"/>
        </w:rPr>
        <w:t xml:space="preserve"> Congress proposed and later enacted a compromise.  </w:t>
      </w:r>
      <w:bookmarkStart w:id="53" w:name="Psych_Cite_531"/>
      <w:r w:rsidR="0014214E" w:rsidRPr="00277397">
        <w:rPr>
          <w:rFonts w:ascii="Times New Roman" w:hAnsi="Times New Roman" w:cs="Times New Roman"/>
          <w:sz w:val="24"/>
          <w:szCs w:val="24"/>
          <w:u w:val="single"/>
        </w:rPr>
        <w:t>Id</w:t>
      </w:r>
      <w:r w:rsidR="0014214E" w:rsidRPr="00277397">
        <w:rPr>
          <w:rFonts w:ascii="Times New Roman" w:hAnsi="Times New Roman" w:cs="Times New Roman"/>
          <w:sz w:val="24"/>
          <w:szCs w:val="24"/>
        </w:rPr>
        <w:t>. at 145</w:t>
      </w:r>
      <w:bookmarkEnd w:id="53"/>
      <w:r w:rsidR="0014214E" w:rsidRPr="00277397">
        <w:rPr>
          <w:rFonts w:ascii="Times New Roman" w:hAnsi="Times New Roman" w:cs="Times New Roman"/>
          <w:sz w:val="24"/>
          <w:szCs w:val="24"/>
        </w:rPr>
        <w:t xml:space="preserve">.  </w:t>
      </w:r>
    </w:p>
    <w:p w14:paraId="20256982" w14:textId="77777777" w:rsidR="00A43D5E" w:rsidRPr="00277397" w:rsidRDefault="003B3CA4" w:rsidP="00A43D5E">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 xml:space="preserve">This compromise </w:t>
      </w:r>
      <w:r w:rsidR="005503B8" w:rsidRPr="00277397">
        <w:rPr>
          <w:rFonts w:ascii="Times New Roman" w:hAnsi="Times New Roman" w:cs="Times New Roman"/>
          <w:sz w:val="24"/>
          <w:szCs w:val="24"/>
        </w:rPr>
        <w:t xml:space="preserve">addressed the </w:t>
      </w:r>
      <w:r w:rsidR="0014214E" w:rsidRPr="00277397">
        <w:rPr>
          <w:rFonts w:ascii="Times New Roman" w:hAnsi="Times New Roman" w:cs="Times New Roman"/>
          <w:sz w:val="24"/>
          <w:szCs w:val="24"/>
        </w:rPr>
        <w:t xml:space="preserve">need to expand </w:t>
      </w:r>
      <w:r w:rsidR="005503B8" w:rsidRPr="00277397">
        <w:rPr>
          <w:rFonts w:ascii="Times New Roman" w:hAnsi="Times New Roman" w:cs="Times New Roman"/>
          <w:sz w:val="24"/>
          <w:szCs w:val="24"/>
        </w:rPr>
        <w:t xml:space="preserve">works </w:t>
      </w:r>
      <w:r w:rsidR="0014214E" w:rsidRPr="00277397">
        <w:rPr>
          <w:rFonts w:ascii="Times New Roman" w:hAnsi="Times New Roman" w:cs="Times New Roman"/>
          <w:sz w:val="24"/>
          <w:szCs w:val="24"/>
        </w:rPr>
        <w:t>“</w:t>
      </w:r>
      <w:r w:rsidR="005503B8" w:rsidRPr="00277397">
        <w:rPr>
          <w:rFonts w:ascii="Times New Roman" w:hAnsi="Times New Roman" w:cs="Times New Roman"/>
          <w:sz w:val="24"/>
          <w:szCs w:val="24"/>
        </w:rPr>
        <w:t>made for hire</w:t>
      </w:r>
      <w:r w:rsidR="0014214E" w:rsidRPr="00277397">
        <w:rPr>
          <w:rFonts w:ascii="Times New Roman" w:hAnsi="Times New Roman" w:cs="Times New Roman"/>
          <w:sz w:val="24"/>
          <w:szCs w:val="24"/>
        </w:rPr>
        <w:t>”</w:t>
      </w:r>
      <w:r w:rsidR="005503B8" w:rsidRPr="00277397">
        <w:rPr>
          <w:rFonts w:ascii="Times New Roman" w:hAnsi="Times New Roman" w:cs="Times New Roman"/>
          <w:sz w:val="24"/>
          <w:szCs w:val="24"/>
        </w:rPr>
        <w:t xml:space="preserve"> law to commissioned works, but not with the same broad rules for employees.</w:t>
      </w:r>
      <w:r w:rsidR="0014214E" w:rsidRPr="00277397">
        <w:rPr>
          <w:rFonts w:ascii="Times New Roman" w:hAnsi="Times New Roman" w:cs="Times New Roman"/>
          <w:sz w:val="24"/>
          <w:szCs w:val="24"/>
        </w:rPr>
        <w:t xml:space="preserve">  </w:t>
      </w:r>
      <w:bookmarkStart w:id="54" w:name="Psych_Cite_540"/>
      <w:r w:rsidR="0014214E" w:rsidRPr="00277397">
        <w:rPr>
          <w:rFonts w:ascii="Times New Roman" w:hAnsi="Times New Roman" w:cs="Times New Roman"/>
          <w:sz w:val="24"/>
          <w:szCs w:val="24"/>
          <w:u w:val="single"/>
        </w:rPr>
        <w:t>Id</w:t>
      </w:r>
      <w:r w:rsidR="0014214E" w:rsidRPr="00277397">
        <w:rPr>
          <w:rFonts w:ascii="Times New Roman" w:hAnsi="Times New Roman" w:cs="Times New Roman"/>
          <w:sz w:val="24"/>
          <w:szCs w:val="24"/>
        </w:rPr>
        <w:t>.</w:t>
      </w:r>
      <w:r w:rsidR="005503B8" w:rsidRPr="00277397">
        <w:rPr>
          <w:rFonts w:ascii="Times New Roman" w:hAnsi="Times New Roman" w:cs="Times New Roman"/>
          <w:sz w:val="24"/>
          <w:szCs w:val="24"/>
        </w:rPr>
        <w:t xml:space="preserve">  </w:t>
      </w:r>
      <w:bookmarkEnd w:id="54"/>
      <w:r w:rsidR="008961EE" w:rsidRPr="00277397">
        <w:rPr>
          <w:rFonts w:ascii="Times New Roman" w:hAnsi="Times New Roman" w:cs="Times New Roman"/>
          <w:sz w:val="24"/>
          <w:szCs w:val="24"/>
        </w:rPr>
        <w:t>The new definition stated that specially ordered or commissioned work may be “made for hire” “if the parties expressly agree in writing that it shall b</w:t>
      </w:r>
      <w:r w:rsidR="0014214E" w:rsidRPr="00277397">
        <w:rPr>
          <w:rFonts w:ascii="Times New Roman" w:hAnsi="Times New Roman" w:cs="Times New Roman"/>
          <w:sz w:val="24"/>
          <w:szCs w:val="24"/>
        </w:rPr>
        <w:t>e considered work made for hire</w:t>
      </w:r>
      <w:r w:rsidR="008961EE" w:rsidRPr="00277397">
        <w:rPr>
          <w:rFonts w:ascii="Times New Roman" w:hAnsi="Times New Roman" w:cs="Times New Roman"/>
          <w:sz w:val="24"/>
          <w:szCs w:val="24"/>
        </w:rPr>
        <w:t>”</w:t>
      </w:r>
      <w:r w:rsidR="0014214E" w:rsidRPr="00277397">
        <w:rPr>
          <w:rFonts w:ascii="Times New Roman" w:hAnsi="Times New Roman" w:cs="Times New Roman"/>
          <w:sz w:val="24"/>
          <w:szCs w:val="24"/>
        </w:rPr>
        <w:t xml:space="preserve"> and that the work </w:t>
      </w:r>
      <w:r w:rsidRPr="00277397">
        <w:rPr>
          <w:rFonts w:ascii="Times New Roman" w:hAnsi="Times New Roman" w:cs="Times New Roman"/>
          <w:sz w:val="24"/>
          <w:szCs w:val="24"/>
        </w:rPr>
        <w:t xml:space="preserve">must </w:t>
      </w:r>
      <w:r w:rsidR="0014214E" w:rsidRPr="00277397">
        <w:rPr>
          <w:rFonts w:ascii="Times New Roman" w:hAnsi="Times New Roman" w:cs="Times New Roman"/>
          <w:sz w:val="24"/>
          <w:szCs w:val="24"/>
        </w:rPr>
        <w:t xml:space="preserve">fall </w:t>
      </w:r>
      <w:r w:rsidRPr="00277397">
        <w:rPr>
          <w:rFonts w:ascii="Times New Roman" w:hAnsi="Times New Roman" w:cs="Times New Roman"/>
          <w:sz w:val="24"/>
          <w:szCs w:val="24"/>
        </w:rPr>
        <w:t xml:space="preserve">within one of the </w:t>
      </w:r>
      <w:r w:rsidR="0014214E" w:rsidRPr="00277397">
        <w:rPr>
          <w:rFonts w:ascii="Times New Roman" w:hAnsi="Times New Roman" w:cs="Times New Roman"/>
          <w:sz w:val="24"/>
          <w:szCs w:val="24"/>
        </w:rPr>
        <w:t xml:space="preserve">enumerated </w:t>
      </w:r>
      <w:r w:rsidRPr="00277397">
        <w:rPr>
          <w:rFonts w:ascii="Times New Roman" w:hAnsi="Times New Roman" w:cs="Times New Roman"/>
          <w:sz w:val="24"/>
          <w:szCs w:val="24"/>
        </w:rPr>
        <w:t>categories</w:t>
      </w:r>
      <w:r w:rsidR="0014214E" w:rsidRPr="00277397">
        <w:rPr>
          <w:rFonts w:ascii="Times New Roman" w:hAnsi="Times New Roman" w:cs="Times New Roman"/>
          <w:sz w:val="24"/>
          <w:szCs w:val="24"/>
        </w:rPr>
        <w:t xml:space="preserve">.  </w:t>
      </w:r>
      <w:bookmarkStart w:id="55" w:name="Psych_Cite_541"/>
      <w:r w:rsidR="0014214E" w:rsidRPr="00277397">
        <w:rPr>
          <w:rFonts w:ascii="Times New Roman" w:hAnsi="Times New Roman" w:cs="Times New Roman"/>
          <w:sz w:val="24"/>
          <w:szCs w:val="24"/>
          <w:u w:val="single"/>
        </w:rPr>
        <w:t>Id</w:t>
      </w:r>
      <w:r w:rsidR="0014214E" w:rsidRPr="00277397">
        <w:rPr>
          <w:rFonts w:ascii="Times New Roman" w:hAnsi="Times New Roman" w:cs="Times New Roman"/>
          <w:sz w:val="24"/>
          <w:szCs w:val="24"/>
        </w:rPr>
        <w:t>.</w:t>
      </w:r>
      <w:r w:rsidR="008961EE" w:rsidRPr="00277397">
        <w:rPr>
          <w:rFonts w:ascii="Times New Roman" w:hAnsi="Times New Roman" w:cs="Times New Roman"/>
          <w:sz w:val="24"/>
          <w:szCs w:val="24"/>
        </w:rPr>
        <w:t xml:space="preserve">  </w:t>
      </w:r>
      <w:bookmarkEnd w:id="55"/>
      <w:r w:rsidR="008961EE" w:rsidRPr="00277397">
        <w:rPr>
          <w:rFonts w:ascii="Times New Roman" w:hAnsi="Times New Roman" w:cs="Times New Roman"/>
          <w:sz w:val="24"/>
          <w:szCs w:val="24"/>
        </w:rPr>
        <w:t xml:space="preserve">In the discussion of </w:t>
      </w:r>
      <w:r w:rsidR="00ED39BD" w:rsidRPr="00277397">
        <w:rPr>
          <w:rFonts w:ascii="Times New Roman" w:hAnsi="Times New Roman" w:cs="Times New Roman"/>
          <w:sz w:val="24"/>
          <w:szCs w:val="24"/>
        </w:rPr>
        <w:t>the new definition, Ringer</w:t>
      </w:r>
      <w:r w:rsidRPr="00277397">
        <w:rPr>
          <w:rFonts w:ascii="Times New Roman" w:hAnsi="Times New Roman" w:cs="Times New Roman"/>
          <w:sz w:val="24"/>
          <w:szCs w:val="24"/>
        </w:rPr>
        <w:t xml:space="preserve"> indicated </w:t>
      </w:r>
      <w:r w:rsidR="0014214E" w:rsidRPr="00277397">
        <w:rPr>
          <w:rFonts w:ascii="Times New Roman" w:hAnsi="Times New Roman" w:cs="Times New Roman"/>
          <w:sz w:val="24"/>
          <w:szCs w:val="24"/>
        </w:rPr>
        <w:t>that a work “would not be considered ‘made for hire’</w:t>
      </w:r>
      <w:r w:rsidR="00892A25" w:rsidRPr="00277397">
        <w:rPr>
          <w:rFonts w:ascii="Times New Roman" w:hAnsi="Times New Roman" w:cs="Times New Roman"/>
          <w:sz w:val="24"/>
          <w:szCs w:val="24"/>
        </w:rPr>
        <w:t xml:space="preserve"> if the contract were signed later on- after the work was written.”</w:t>
      </w:r>
      <w:r w:rsidR="0014214E" w:rsidRPr="00277397">
        <w:rPr>
          <w:rFonts w:ascii="Times New Roman" w:hAnsi="Times New Roman" w:cs="Times New Roman"/>
          <w:sz w:val="24"/>
          <w:szCs w:val="24"/>
        </w:rPr>
        <w:t xml:space="preserve">  </w:t>
      </w:r>
      <w:bookmarkStart w:id="56" w:name="Psych_Cite_542"/>
      <w:r w:rsidR="0014214E" w:rsidRPr="00277397">
        <w:rPr>
          <w:rFonts w:ascii="Times New Roman" w:hAnsi="Times New Roman" w:cs="Times New Roman"/>
          <w:sz w:val="24"/>
          <w:szCs w:val="24"/>
          <w:u w:val="single"/>
        </w:rPr>
        <w:t>Id</w:t>
      </w:r>
      <w:r w:rsidR="0014214E" w:rsidRPr="00277397">
        <w:rPr>
          <w:rFonts w:ascii="Times New Roman" w:hAnsi="Times New Roman" w:cs="Times New Roman"/>
          <w:sz w:val="24"/>
          <w:szCs w:val="24"/>
        </w:rPr>
        <w:t>.</w:t>
      </w:r>
      <w:r w:rsidR="00892A25" w:rsidRPr="00277397">
        <w:rPr>
          <w:rFonts w:ascii="Times New Roman" w:hAnsi="Times New Roman" w:cs="Times New Roman"/>
          <w:sz w:val="24"/>
          <w:szCs w:val="24"/>
        </w:rPr>
        <w:t xml:space="preserve">  </w:t>
      </w:r>
      <w:bookmarkEnd w:id="56"/>
      <w:r w:rsidR="00BC66B9" w:rsidRPr="00277397">
        <w:rPr>
          <w:rFonts w:ascii="Times New Roman" w:hAnsi="Times New Roman" w:cs="Times New Roman"/>
          <w:sz w:val="24"/>
          <w:szCs w:val="24"/>
        </w:rPr>
        <w:t>Ringer noted that the requirement that an agreement be signed preceding the creation of the work was a “basic reason” for the acceptance of the compromise.</w:t>
      </w:r>
      <w:r w:rsidR="0014214E" w:rsidRPr="00277397">
        <w:rPr>
          <w:rFonts w:ascii="Times New Roman" w:hAnsi="Times New Roman" w:cs="Times New Roman"/>
          <w:sz w:val="24"/>
          <w:szCs w:val="24"/>
        </w:rPr>
        <w:t xml:space="preserve">  </w:t>
      </w:r>
      <w:bookmarkStart w:id="57" w:name="Psych_Cite_543"/>
      <w:r w:rsidR="0014214E" w:rsidRPr="00277397">
        <w:rPr>
          <w:rFonts w:ascii="Times New Roman" w:hAnsi="Times New Roman" w:cs="Times New Roman"/>
          <w:sz w:val="24"/>
          <w:szCs w:val="24"/>
          <w:u w:val="single"/>
        </w:rPr>
        <w:t>Id</w:t>
      </w:r>
      <w:r w:rsidR="0014214E" w:rsidRPr="00277397">
        <w:rPr>
          <w:rFonts w:ascii="Times New Roman" w:hAnsi="Times New Roman" w:cs="Times New Roman"/>
          <w:sz w:val="24"/>
          <w:szCs w:val="24"/>
        </w:rPr>
        <w:t xml:space="preserve">.  </w:t>
      </w:r>
      <w:bookmarkEnd w:id="57"/>
      <w:r w:rsidR="00BC66B9" w:rsidRPr="00277397">
        <w:rPr>
          <w:rFonts w:ascii="Times New Roman" w:hAnsi="Times New Roman" w:cs="Times New Roman"/>
          <w:sz w:val="24"/>
          <w:szCs w:val="24"/>
        </w:rPr>
        <w:t xml:space="preserve">The discussion of the “made for hire” definition not only demonstrates that </w:t>
      </w:r>
      <w:r w:rsidR="00711BC9" w:rsidRPr="00277397">
        <w:rPr>
          <w:rFonts w:ascii="Times New Roman" w:hAnsi="Times New Roman" w:cs="Times New Roman"/>
          <w:sz w:val="24"/>
          <w:szCs w:val="24"/>
        </w:rPr>
        <w:t>Congress intended the statute require a written agreement preceding the creation of a commissioned work, but also highlights the importance of this requirement.  Ringer’s comments imply that without the requirement that the written agreement precede the commissioned work, the compromi</w:t>
      </w:r>
      <w:r w:rsidR="00F432E6" w:rsidRPr="00277397">
        <w:rPr>
          <w:rFonts w:ascii="Times New Roman" w:hAnsi="Times New Roman" w:cs="Times New Roman"/>
          <w:sz w:val="24"/>
          <w:szCs w:val="24"/>
        </w:rPr>
        <w:t xml:space="preserve">se </w:t>
      </w:r>
      <w:r w:rsidRPr="00277397">
        <w:rPr>
          <w:rFonts w:ascii="Times New Roman" w:hAnsi="Times New Roman" w:cs="Times New Roman"/>
          <w:sz w:val="24"/>
          <w:szCs w:val="24"/>
        </w:rPr>
        <w:t>could not be reached</w:t>
      </w:r>
      <w:r w:rsidR="00F432E6" w:rsidRPr="00277397">
        <w:rPr>
          <w:rFonts w:ascii="Times New Roman" w:hAnsi="Times New Roman" w:cs="Times New Roman"/>
          <w:sz w:val="24"/>
          <w:szCs w:val="24"/>
        </w:rPr>
        <w:t xml:space="preserve">.  </w:t>
      </w:r>
    </w:p>
    <w:p w14:paraId="564D55E0" w14:textId="77777777" w:rsidR="00A43D5E" w:rsidRPr="00944768" w:rsidRDefault="00F432E6" w:rsidP="00A43D5E">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The 89</w:t>
      </w:r>
      <w:r w:rsidRPr="00277397">
        <w:rPr>
          <w:rFonts w:ascii="Times New Roman" w:hAnsi="Times New Roman" w:cs="Times New Roman"/>
          <w:sz w:val="24"/>
          <w:szCs w:val="24"/>
          <w:vertAlign w:val="superscript"/>
        </w:rPr>
        <w:t>th</w:t>
      </w:r>
      <w:r w:rsidRPr="00277397">
        <w:rPr>
          <w:rFonts w:ascii="Times New Roman" w:hAnsi="Times New Roman" w:cs="Times New Roman"/>
          <w:sz w:val="24"/>
          <w:szCs w:val="24"/>
        </w:rPr>
        <w:t xml:space="preserve"> Congress further discussed commissioned works “made for hire” in the </w:t>
      </w:r>
      <w:r w:rsidRPr="00277397">
        <w:rPr>
          <w:rFonts w:ascii="Times New Roman" w:hAnsi="Times New Roman" w:cs="Times New Roman"/>
          <w:sz w:val="24"/>
          <w:szCs w:val="24"/>
          <w:u w:val="single"/>
        </w:rPr>
        <w:t>Supplementary Register's Report on the General Revision of the U.S. Copyright Law</w:t>
      </w:r>
      <w:r w:rsidR="003B3CA4" w:rsidRPr="00277397">
        <w:rPr>
          <w:rFonts w:ascii="Times New Roman" w:hAnsi="Times New Roman" w:cs="Times New Roman"/>
          <w:sz w:val="24"/>
          <w:szCs w:val="24"/>
        </w:rPr>
        <w:t xml:space="preserve">.  </w:t>
      </w:r>
      <w:r w:rsidR="00A43D5E" w:rsidRPr="00277397">
        <w:rPr>
          <w:rFonts w:ascii="Times New Roman" w:hAnsi="Times New Roman" w:cs="Times New Roman"/>
          <w:sz w:val="24"/>
          <w:szCs w:val="24"/>
        </w:rPr>
        <w:t xml:space="preserve">The Report </w:t>
      </w:r>
      <w:r w:rsidR="006F7CF2" w:rsidRPr="00277397">
        <w:rPr>
          <w:rFonts w:ascii="Times New Roman" w:hAnsi="Times New Roman" w:cs="Times New Roman"/>
          <w:sz w:val="24"/>
          <w:szCs w:val="24"/>
        </w:rPr>
        <w:t>reiterates</w:t>
      </w:r>
      <w:r w:rsidR="00A43D5E" w:rsidRPr="00277397">
        <w:rPr>
          <w:rFonts w:ascii="Times New Roman" w:hAnsi="Times New Roman" w:cs="Times New Roman"/>
          <w:sz w:val="24"/>
          <w:szCs w:val="24"/>
        </w:rPr>
        <w:t xml:space="preserve"> Ringer’s comments by stating that “the definition now in section 101 represents a carefully worked out compromise aimed at balancing legiti</w:t>
      </w:r>
      <w:r w:rsidR="006F7CF2" w:rsidRPr="00277397">
        <w:rPr>
          <w:rFonts w:ascii="Times New Roman" w:hAnsi="Times New Roman" w:cs="Times New Roman"/>
          <w:sz w:val="24"/>
          <w:szCs w:val="24"/>
        </w:rPr>
        <w:t xml:space="preserve">mate interests on both sides.”  </w:t>
      </w:r>
      <w:r w:rsidR="006F7CF2" w:rsidRPr="00277397">
        <w:rPr>
          <w:rFonts w:ascii="Times New Roman" w:hAnsi="Times New Roman" w:cs="Times New Roman"/>
          <w:sz w:val="24"/>
          <w:szCs w:val="24"/>
          <w:u w:val="single"/>
        </w:rPr>
        <w:lastRenderedPageBreak/>
        <w:t xml:space="preserve">Supplementary Register’s Rep. on the </w:t>
      </w:r>
      <w:bookmarkStart w:id="58" w:name="Psych_Cite_548"/>
      <w:r w:rsidR="006F7CF2" w:rsidRPr="00277397">
        <w:rPr>
          <w:rFonts w:ascii="Times New Roman" w:hAnsi="Times New Roman" w:cs="Times New Roman"/>
          <w:sz w:val="24"/>
          <w:szCs w:val="24"/>
          <w:u w:val="single"/>
        </w:rPr>
        <w:t>General Revision of the U.S. Copyright Law</w:t>
      </w:r>
      <w:r w:rsidR="006F7CF2" w:rsidRPr="00277397">
        <w:rPr>
          <w:rFonts w:ascii="Times New Roman" w:hAnsi="Times New Roman" w:cs="Times New Roman"/>
          <w:sz w:val="24"/>
          <w:szCs w:val="24"/>
        </w:rPr>
        <w:t>, 89</w:t>
      </w:r>
      <w:bookmarkEnd w:id="58"/>
      <w:r w:rsidR="006F7CF2" w:rsidRPr="00277397">
        <w:rPr>
          <w:rFonts w:ascii="Times New Roman" w:hAnsi="Times New Roman" w:cs="Times New Roman"/>
          <w:sz w:val="24"/>
          <w:szCs w:val="24"/>
          <w:vertAlign w:val="superscript"/>
        </w:rPr>
        <w:t>th</w:t>
      </w:r>
      <w:r w:rsidR="006F7CF2" w:rsidRPr="00277397">
        <w:rPr>
          <w:rFonts w:ascii="Times New Roman" w:hAnsi="Times New Roman" w:cs="Times New Roman"/>
          <w:sz w:val="24"/>
          <w:szCs w:val="24"/>
        </w:rPr>
        <w:t xml:space="preserve"> Cong., 1</w:t>
      </w:r>
      <w:r w:rsidR="006F7CF2" w:rsidRPr="00277397">
        <w:rPr>
          <w:rFonts w:ascii="Times New Roman" w:hAnsi="Times New Roman" w:cs="Times New Roman"/>
          <w:sz w:val="24"/>
          <w:szCs w:val="24"/>
          <w:vertAlign w:val="superscript"/>
        </w:rPr>
        <w:t>st</w:t>
      </w:r>
      <w:r w:rsidR="00144B5A">
        <w:rPr>
          <w:rFonts w:ascii="Times New Roman" w:hAnsi="Times New Roman" w:cs="Times New Roman"/>
          <w:sz w:val="24"/>
          <w:szCs w:val="24"/>
        </w:rPr>
        <w:t xml:space="preserve"> Sess., </w:t>
      </w:r>
      <w:r w:rsidR="006F7CF2" w:rsidRPr="00277397">
        <w:rPr>
          <w:rFonts w:ascii="Times New Roman" w:hAnsi="Times New Roman" w:cs="Times New Roman"/>
          <w:sz w:val="24"/>
          <w:szCs w:val="24"/>
        </w:rPr>
        <w:t xml:space="preserve">66 (H.R. Comm. Print 1965).  </w:t>
      </w:r>
      <w:r w:rsidR="00944768">
        <w:rPr>
          <w:rFonts w:ascii="Times New Roman" w:hAnsi="Times New Roman" w:cs="Times New Roman"/>
          <w:sz w:val="24"/>
          <w:szCs w:val="24"/>
        </w:rPr>
        <w:t>Some groups</w:t>
      </w:r>
      <w:r w:rsidR="00A43D5E" w:rsidRPr="00277397">
        <w:rPr>
          <w:rFonts w:ascii="Times New Roman" w:hAnsi="Times New Roman" w:cs="Times New Roman"/>
          <w:sz w:val="24"/>
          <w:szCs w:val="24"/>
        </w:rPr>
        <w:t xml:space="preserve"> argued that a specially ordered or commissioned works should be eligible for “made for hire” status </w:t>
      </w:r>
      <w:r w:rsidR="003B3CA4" w:rsidRPr="00277397">
        <w:rPr>
          <w:rFonts w:ascii="Times New Roman" w:hAnsi="Times New Roman" w:cs="Times New Roman"/>
          <w:sz w:val="24"/>
          <w:szCs w:val="24"/>
        </w:rPr>
        <w:t>when</w:t>
      </w:r>
      <w:r w:rsidR="00A43D5E" w:rsidRPr="00277397">
        <w:rPr>
          <w:rFonts w:ascii="Times New Roman" w:hAnsi="Times New Roman" w:cs="Times New Roman"/>
          <w:sz w:val="24"/>
          <w:szCs w:val="24"/>
        </w:rPr>
        <w:t xml:space="preserve"> works “deserve to be treated as ‘works made for hire.’</w:t>
      </w:r>
      <w:r w:rsidR="00A43D5E" w:rsidRPr="00144B5A">
        <w:rPr>
          <w:rFonts w:ascii="Times New Roman" w:hAnsi="Times New Roman" w:cs="Times New Roman"/>
          <w:sz w:val="24"/>
          <w:szCs w:val="24"/>
        </w:rPr>
        <w:t xml:space="preserve">”  </w:t>
      </w:r>
      <w:r w:rsidR="006F7CF2" w:rsidRPr="00144B5A">
        <w:rPr>
          <w:rFonts w:ascii="Times New Roman" w:hAnsi="Times New Roman" w:cs="Times New Roman"/>
          <w:sz w:val="24"/>
          <w:szCs w:val="24"/>
          <w:u w:val="single"/>
        </w:rPr>
        <w:t xml:space="preserve">Supplementary Register’s Rep. on the </w:t>
      </w:r>
      <w:bookmarkStart w:id="59" w:name="Psych_Cite_549"/>
      <w:r w:rsidR="006F7CF2" w:rsidRPr="00144B5A">
        <w:rPr>
          <w:rFonts w:ascii="Times New Roman" w:hAnsi="Times New Roman" w:cs="Times New Roman"/>
          <w:sz w:val="24"/>
          <w:szCs w:val="24"/>
          <w:u w:val="single"/>
        </w:rPr>
        <w:t>General Revision of the U.S. Copyright Law</w:t>
      </w:r>
      <w:bookmarkEnd w:id="59"/>
      <w:r w:rsidR="00144B5A" w:rsidRPr="00144B5A">
        <w:rPr>
          <w:rFonts w:ascii="Times New Roman" w:hAnsi="Times New Roman" w:cs="Times New Roman"/>
          <w:sz w:val="24"/>
          <w:szCs w:val="24"/>
        </w:rPr>
        <w:t xml:space="preserve"> at </w:t>
      </w:r>
      <w:r w:rsidR="006F7CF2" w:rsidRPr="00144B5A">
        <w:rPr>
          <w:rFonts w:ascii="Times New Roman" w:hAnsi="Times New Roman" w:cs="Times New Roman"/>
          <w:sz w:val="24"/>
          <w:szCs w:val="24"/>
        </w:rPr>
        <w:t>66-</w:t>
      </w:r>
      <w:r w:rsidR="00144B5A" w:rsidRPr="00144B5A">
        <w:rPr>
          <w:rFonts w:ascii="Times New Roman" w:hAnsi="Times New Roman" w:cs="Times New Roman"/>
          <w:sz w:val="24"/>
          <w:szCs w:val="24"/>
        </w:rPr>
        <w:t>67.</w:t>
      </w:r>
      <w:r w:rsidR="006F7CF2" w:rsidRPr="00144B5A">
        <w:rPr>
          <w:rFonts w:ascii="Times New Roman" w:hAnsi="Times New Roman" w:cs="Times New Roman"/>
          <w:sz w:val="24"/>
          <w:szCs w:val="24"/>
        </w:rPr>
        <w:t xml:space="preserve">  </w:t>
      </w:r>
      <w:r w:rsidR="00490A4C" w:rsidRPr="00144B5A">
        <w:rPr>
          <w:rFonts w:ascii="Times New Roman" w:hAnsi="Times New Roman" w:cs="Times New Roman"/>
          <w:sz w:val="24"/>
          <w:szCs w:val="24"/>
        </w:rPr>
        <w:t>To</w:t>
      </w:r>
      <w:r w:rsidR="00490A4C" w:rsidRPr="00277397">
        <w:rPr>
          <w:rFonts w:ascii="Times New Roman" w:hAnsi="Times New Roman" w:cs="Times New Roman"/>
          <w:sz w:val="24"/>
          <w:szCs w:val="24"/>
        </w:rPr>
        <w:t xml:space="preserve"> satisfy the authors and related groups, the definition enumerated specific categories where work may be considered “made for hire” “only if it is in fact ‘specially ordered or commissioned’ for that purpose and if there is an express agreement in writing that the work be considered ‘made for hire.’”</w:t>
      </w:r>
      <w:r w:rsidR="006F7CF2" w:rsidRPr="00277397">
        <w:rPr>
          <w:rFonts w:ascii="Times New Roman" w:hAnsi="Times New Roman" w:cs="Times New Roman"/>
          <w:sz w:val="24"/>
          <w:szCs w:val="24"/>
        </w:rPr>
        <w:t xml:space="preserve">  </w:t>
      </w:r>
      <w:bookmarkStart w:id="60" w:name="Psych_Cite_544"/>
      <w:r w:rsidR="006F7CF2" w:rsidRPr="00277397">
        <w:rPr>
          <w:rFonts w:ascii="Times New Roman" w:hAnsi="Times New Roman" w:cs="Times New Roman"/>
          <w:sz w:val="24"/>
          <w:szCs w:val="24"/>
          <w:u w:val="single"/>
        </w:rPr>
        <w:t>Id</w:t>
      </w:r>
      <w:r w:rsidR="006F7CF2" w:rsidRPr="00277397">
        <w:rPr>
          <w:rFonts w:ascii="Times New Roman" w:hAnsi="Times New Roman" w:cs="Times New Roman"/>
          <w:sz w:val="24"/>
          <w:szCs w:val="24"/>
        </w:rPr>
        <w:t xml:space="preserve">. </w:t>
      </w:r>
      <w:r w:rsidR="00144B5A">
        <w:rPr>
          <w:rFonts w:ascii="Times New Roman" w:hAnsi="Times New Roman" w:cs="Times New Roman"/>
          <w:sz w:val="24"/>
          <w:szCs w:val="24"/>
        </w:rPr>
        <w:t xml:space="preserve">at </w:t>
      </w:r>
      <w:r w:rsidR="006F7CF2" w:rsidRPr="00277397">
        <w:rPr>
          <w:rFonts w:ascii="Times New Roman" w:hAnsi="Times New Roman" w:cs="Times New Roman"/>
          <w:sz w:val="24"/>
          <w:szCs w:val="24"/>
        </w:rPr>
        <w:t>67</w:t>
      </w:r>
      <w:bookmarkEnd w:id="60"/>
      <w:r w:rsidR="006F7CF2" w:rsidRPr="00277397">
        <w:rPr>
          <w:rFonts w:ascii="Times New Roman" w:hAnsi="Times New Roman" w:cs="Times New Roman"/>
          <w:sz w:val="24"/>
          <w:szCs w:val="24"/>
        </w:rPr>
        <w:t>.</w:t>
      </w:r>
      <w:r w:rsidR="00490A4C" w:rsidRPr="00277397">
        <w:rPr>
          <w:rFonts w:ascii="Times New Roman" w:hAnsi="Times New Roman" w:cs="Times New Roman"/>
          <w:sz w:val="24"/>
          <w:szCs w:val="24"/>
        </w:rPr>
        <w:t xml:space="preserve">  The Report highlights the importance of the additional requirements by noting that they were essential in the formulation of the compromise.  </w:t>
      </w:r>
      <w:r w:rsidR="00944768">
        <w:rPr>
          <w:rFonts w:ascii="Times New Roman" w:hAnsi="Times New Roman" w:cs="Times New Roman"/>
          <w:sz w:val="24"/>
          <w:szCs w:val="24"/>
          <w:u w:val="single"/>
        </w:rPr>
        <w:t>Id</w:t>
      </w:r>
      <w:r w:rsidR="00944768">
        <w:rPr>
          <w:rFonts w:ascii="Times New Roman" w:hAnsi="Times New Roman" w:cs="Times New Roman"/>
          <w:sz w:val="24"/>
          <w:szCs w:val="24"/>
        </w:rPr>
        <w:t>. at 44.</w:t>
      </w:r>
    </w:p>
    <w:p w14:paraId="6FE44E4F" w14:textId="77777777" w:rsidR="00FC7028" w:rsidRPr="00277397" w:rsidRDefault="00490A4C" w:rsidP="00FC7028">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 xml:space="preserve">Since </w:t>
      </w:r>
      <w:r w:rsidR="007F3635" w:rsidRPr="00277397">
        <w:rPr>
          <w:rFonts w:ascii="Times New Roman" w:hAnsi="Times New Roman" w:cs="Times New Roman"/>
          <w:sz w:val="24"/>
          <w:szCs w:val="24"/>
        </w:rPr>
        <w:t>1967</w:t>
      </w:r>
      <w:r w:rsidRPr="00277397">
        <w:rPr>
          <w:rFonts w:ascii="Times New Roman" w:hAnsi="Times New Roman" w:cs="Times New Roman"/>
          <w:sz w:val="24"/>
          <w:szCs w:val="24"/>
        </w:rPr>
        <w:t>, the requirements of commissio</w:t>
      </w:r>
      <w:r w:rsidR="00A406EB" w:rsidRPr="00277397">
        <w:rPr>
          <w:rFonts w:ascii="Times New Roman" w:hAnsi="Times New Roman" w:cs="Times New Roman"/>
          <w:sz w:val="24"/>
          <w:szCs w:val="24"/>
        </w:rPr>
        <w:t>ned work “made for hire” remained</w:t>
      </w:r>
      <w:r w:rsidRPr="00277397">
        <w:rPr>
          <w:rFonts w:ascii="Times New Roman" w:hAnsi="Times New Roman" w:cs="Times New Roman"/>
          <w:sz w:val="24"/>
          <w:szCs w:val="24"/>
        </w:rPr>
        <w:t xml:space="preserve"> unchanged except for the addition of other accepted categori</w:t>
      </w:r>
      <w:r w:rsidR="006F7CF2" w:rsidRPr="00277397">
        <w:rPr>
          <w:rFonts w:ascii="Times New Roman" w:hAnsi="Times New Roman" w:cs="Times New Roman"/>
          <w:sz w:val="24"/>
          <w:szCs w:val="24"/>
        </w:rPr>
        <w:t>es of work to address</w:t>
      </w:r>
      <w:r w:rsidRPr="00277397">
        <w:rPr>
          <w:rFonts w:ascii="Times New Roman" w:hAnsi="Times New Roman" w:cs="Times New Roman"/>
          <w:sz w:val="24"/>
          <w:szCs w:val="24"/>
        </w:rPr>
        <w:t xml:space="preserve"> technology advances.  </w:t>
      </w:r>
      <w:r w:rsidR="006F7CF2" w:rsidRPr="00277397">
        <w:rPr>
          <w:rFonts w:ascii="Times New Roman" w:hAnsi="Times New Roman" w:cs="Times New Roman"/>
          <w:sz w:val="24"/>
          <w:szCs w:val="24"/>
          <w:u w:val="single"/>
        </w:rPr>
        <w:t xml:space="preserve">Second Supp. Register’s Rep. on the </w:t>
      </w:r>
      <w:bookmarkStart w:id="61" w:name="Psych_Cite_551"/>
      <w:r w:rsidR="006F7CF2" w:rsidRPr="00277397">
        <w:rPr>
          <w:rFonts w:ascii="Times New Roman" w:hAnsi="Times New Roman" w:cs="Times New Roman"/>
          <w:sz w:val="24"/>
          <w:szCs w:val="24"/>
          <w:u w:val="single"/>
        </w:rPr>
        <w:t>General Revision of the U.S. Copyright Law</w:t>
      </w:r>
      <w:r w:rsidR="006F7CF2" w:rsidRPr="00277397">
        <w:rPr>
          <w:rFonts w:ascii="Times New Roman" w:hAnsi="Times New Roman" w:cs="Times New Roman"/>
          <w:sz w:val="24"/>
          <w:szCs w:val="24"/>
        </w:rPr>
        <w:t>, 94</w:t>
      </w:r>
      <w:bookmarkEnd w:id="61"/>
      <w:r w:rsidR="006F7CF2" w:rsidRPr="00277397">
        <w:rPr>
          <w:rFonts w:ascii="Times New Roman" w:hAnsi="Times New Roman" w:cs="Times New Roman"/>
          <w:sz w:val="24"/>
          <w:szCs w:val="24"/>
          <w:vertAlign w:val="superscript"/>
        </w:rPr>
        <w:t>th</w:t>
      </w:r>
      <w:r w:rsidR="006F7CF2" w:rsidRPr="00277397">
        <w:rPr>
          <w:rFonts w:ascii="Times New Roman" w:hAnsi="Times New Roman" w:cs="Times New Roman"/>
          <w:sz w:val="24"/>
          <w:szCs w:val="24"/>
        </w:rPr>
        <w:t xml:space="preserve"> Cong., 1</w:t>
      </w:r>
      <w:r w:rsidR="006F7CF2" w:rsidRPr="00277397">
        <w:rPr>
          <w:rFonts w:ascii="Times New Roman" w:hAnsi="Times New Roman" w:cs="Times New Roman"/>
          <w:sz w:val="24"/>
          <w:szCs w:val="24"/>
          <w:vertAlign w:val="superscript"/>
        </w:rPr>
        <w:t>st</w:t>
      </w:r>
      <w:r w:rsidR="00144B5A">
        <w:rPr>
          <w:rFonts w:ascii="Times New Roman" w:hAnsi="Times New Roman" w:cs="Times New Roman"/>
          <w:sz w:val="24"/>
          <w:szCs w:val="24"/>
        </w:rPr>
        <w:t xml:space="preserve"> Sess., </w:t>
      </w:r>
      <w:r w:rsidR="006F7CF2" w:rsidRPr="00277397">
        <w:rPr>
          <w:rFonts w:ascii="Times New Roman" w:hAnsi="Times New Roman" w:cs="Times New Roman"/>
          <w:sz w:val="24"/>
          <w:szCs w:val="24"/>
        </w:rPr>
        <w:t xml:space="preserve">392 (H.R. Comm. Print 1975).  </w:t>
      </w:r>
      <w:r w:rsidR="00447501" w:rsidRPr="00277397">
        <w:rPr>
          <w:rFonts w:ascii="Times New Roman" w:hAnsi="Times New Roman" w:cs="Times New Roman"/>
          <w:sz w:val="24"/>
          <w:szCs w:val="24"/>
        </w:rPr>
        <w:t>The lack of substantive change to the commissioned work “made for hire” definition illustrates that the original understanding that a written agreement must precede the commissioned work for it to be considered “made for hire” still holds.  In its actions toward the “made for hire” definition, Congress has merely updated the statute’s appl</w:t>
      </w:r>
      <w:r w:rsidR="00C04327" w:rsidRPr="00277397">
        <w:rPr>
          <w:rFonts w:ascii="Times New Roman" w:hAnsi="Times New Roman" w:cs="Times New Roman"/>
          <w:sz w:val="24"/>
          <w:szCs w:val="24"/>
        </w:rPr>
        <w:t>icability to present technology.</w:t>
      </w:r>
    </w:p>
    <w:p w14:paraId="249D2808" w14:textId="77777777" w:rsidR="00FC7028" w:rsidRDefault="00FC7028" w:rsidP="00FC7028">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If, as OGS contends, the written agreement could occur at any time, the owner of “Anticipatory Repudiation” would be unclear until the actual agreement was signed.  This is contrary to an aspect of the stated purpose of the statute, which is to provide “clear” copyright law.</w:t>
      </w:r>
      <w:r w:rsidR="00144B5A">
        <w:rPr>
          <w:rFonts w:ascii="Times New Roman" w:hAnsi="Times New Roman" w:cs="Times New Roman"/>
          <w:sz w:val="24"/>
          <w:szCs w:val="24"/>
        </w:rPr>
        <w:t xml:space="preserve">  </w:t>
      </w:r>
      <w:r w:rsidR="00144B5A">
        <w:rPr>
          <w:rFonts w:ascii="Times New Roman" w:hAnsi="Times New Roman" w:cs="Times New Roman"/>
          <w:sz w:val="24"/>
          <w:szCs w:val="24"/>
          <w:u w:val="single"/>
        </w:rPr>
        <w:t>Second Supp. Register’s Rep. on the General Revision of the U.S. Copyright Law</w:t>
      </w:r>
      <w:r w:rsidR="00144B5A">
        <w:rPr>
          <w:rFonts w:ascii="Times New Roman" w:hAnsi="Times New Roman" w:cs="Times New Roman"/>
          <w:sz w:val="24"/>
          <w:szCs w:val="24"/>
        </w:rPr>
        <w:t xml:space="preserve"> at XIII.</w:t>
      </w:r>
      <w:r w:rsidR="00585208">
        <w:rPr>
          <w:rFonts w:ascii="Times New Roman" w:hAnsi="Times New Roman" w:cs="Times New Roman"/>
          <w:sz w:val="24"/>
          <w:szCs w:val="24"/>
        </w:rPr>
        <w:t xml:space="preserve"> Legislative history shows that Congress provides more protection for authors, such as Lime, as </w:t>
      </w:r>
      <w:r w:rsidR="00585208">
        <w:rPr>
          <w:rFonts w:ascii="Times New Roman" w:hAnsi="Times New Roman" w:cs="Times New Roman"/>
          <w:sz w:val="24"/>
          <w:szCs w:val="24"/>
        </w:rPr>
        <w:lastRenderedPageBreak/>
        <w:t>U.S. copyright law evolves.  In order to remain consistent with legislative history, the Court should adopt a narrow interpretation of the Copyright Act.</w:t>
      </w:r>
    </w:p>
    <w:p w14:paraId="3C159425" w14:textId="77777777" w:rsidR="00DF23A8" w:rsidRPr="00277397" w:rsidRDefault="00C04327" w:rsidP="00720FFE">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The legislative history surrounding the Copyright Act demonstrate</w:t>
      </w:r>
      <w:r w:rsidR="00ED39BD" w:rsidRPr="00277397">
        <w:rPr>
          <w:rFonts w:ascii="Times New Roman" w:hAnsi="Times New Roman" w:cs="Times New Roman"/>
          <w:sz w:val="24"/>
          <w:szCs w:val="24"/>
        </w:rPr>
        <w:t>s</w:t>
      </w:r>
      <w:r w:rsidRPr="00277397">
        <w:rPr>
          <w:rFonts w:ascii="Times New Roman" w:hAnsi="Times New Roman" w:cs="Times New Roman"/>
          <w:sz w:val="24"/>
          <w:szCs w:val="24"/>
        </w:rPr>
        <w:t xml:space="preserve"> that</w:t>
      </w:r>
      <w:r w:rsidR="00ED39BD" w:rsidRPr="00277397">
        <w:rPr>
          <w:rFonts w:ascii="Times New Roman" w:hAnsi="Times New Roman" w:cs="Times New Roman"/>
          <w:sz w:val="24"/>
          <w:szCs w:val="24"/>
        </w:rPr>
        <w:t xml:space="preserve"> OGS has no cause of action against Lime because an adherence to Congressional intent requires that a written agreement precede a co</w:t>
      </w:r>
      <w:r w:rsidR="00720FFE">
        <w:rPr>
          <w:rFonts w:ascii="Times New Roman" w:hAnsi="Times New Roman" w:cs="Times New Roman"/>
          <w:sz w:val="24"/>
          <w:szCs w:val="24"/>
        </w:rPr>
        <w:t>mmissioned work “made for hire.</w:t>
      </w:r>
    </w:p>
    <w:p w14:paraId="22E13618" w14:textId="77777777" w:rsidR="00AB2B49" w:rsidRPr="00277397" w:rsidRDefault="00A406EB" w:rsidP="00C04327">
      <w:pPr>
        <w:pStyle w:val="NoSpacing"/>
        <w:numPr>
          <w:ilvl w:val="0"/>
          <w:numId w:val="32"/>
        </w:numPr>
        <w:jc w:val="both"/>
        <w:rPr>
          <w:rFonts w:ascii="Times New Roman" w:hAnsi="Times New Roman" w:cs="Times New Roman"/>
          <w:b/>
          <w:sz w:val="24"/>
          <w:szCs w:val="24"/>
        </w:rPr>
      </w:pPr>
      <w:r w:rsidRPr="00277397">
        <w:rPr>
          <w:rFonts w:ascii="Times New Roman" w:hAnsi="Times New Roman" w:cs="Times New Roman"/>
          <w:b/>
          <w:sz w:val="24"/>
          <w:szCs w:val="24"/>
        </w:rPr>
        <w:t>The Copyright Act Should Be Interpreted in Line’s Favor Due to the Rule of Lenity</w:t>
      </w:r>
      <w:r w:rsidR="00AB2B49" w:rsidRPr="00277397">
        <w:rPr>
          <w:rFonts w:ascii="Times New Roman" w:hAnsi="Times New Roman" w:cs="Times New Roman"/>
          <w:b/>
          <w:sz w:val="24"/>
          <w:szCs w:val="24"/>
        </w:rPr>
        <w:t>.</w:t>
      </w:r>
    </w:p>
    <w:p w14:paraId="34E50AB7" w14:textId="77777777" w:rsidR="00C04327" w:rsidRPr="00277397" w:rsidRDefault="00C04327" w:rsidP="00C04327">
      <w:pPr>
        <w:pStyle w:val="NoSpacing"/>
        <w:jc w:val="both"/>
        <w:rPr>
          <w:rFonts w:ascii="Times New Roman" w:hAnsi="Times New Roman" w:cs="Times New Roman"/>
          <w:b/>
          <w:sz w:val="24"/>
          <w:szCs w:val="24"/>
        </w:rPr>
      </w:pPr>
    </w:p>
    <w:p w14:paraId="51D8D9B5" w14:textId="77777777" w:rsidR="00ED39BD" w:rsidRPr="00277397" w:rsidRDefault="007A45BD" w:rsidP="00DE0090">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The r</w:t>
      </w:r>
      <w:r w:rsidR="00ED39BD" w:rsidRPr="00277397">
        <w:rPr>
          <w:rFonts w:ascii="Times New Roman" w:hAnsi="Times New Roman" w:cs="Times New Roman"/>
          <w:sz w:val="24"/>
          <w:szCs w:val="24"/>
        </w:rPr>
        <w:t xml:space="preserve">ule of </w:t>
      </w:r>
      <w:r w:rsidRPr="00277397">
        <w:rPr>
          <w:rFonts w:ascii="Times New Roman" w:hAnsi="Times New Roman" w:cs="Times New Roman"/>
          <w:sz w:val="24"/>
          <w:szCs w:val="24"/>
        </w:rPr>
        <w:t>len</w:t>
      </w:r>
      <w:r w:rsidR="00624F95">
        <w:rPr>
          <w:rFonts w:ascii="Times New Roman" w:hAnsi="Times New Roman" w:cs="Times New Roman"/>
          <w:sz w:val="24"/>
          <w:szCs w:val="24"/>
        </w:rPr>
        <w:t>ity urges the C</w:t>
      </w:r>
      <w:r w:rsidR="00A406EB" w:rsidRPr="00277397">
        <w:rPr>
          <w:rFonts w:ascii="Times New Roman" w:hAnsi="Times New Roman" w:cs="Times New Roman"/>
          <w:sz w:val="24"/>
          <w:szCs w:val="24"/>
        </w:rPr>
        <w:t>ourt to interpret the Copyright Act most favorably for Lime</w:t>
      </w:r>
      <w:r w:rsidR="00ED39BD" w:rsidRPr="00277397">
        <w:rPr>
          <w:rFonts w:ascii="Times New Roman" w:hAnsi="Times New Roman" w:cs="Times New Roman"/>
          <w:sz w:val="24"/>
          <w:szCs w:val="24"/>
        </w:rPr>
        <w:t xml:space="preserve">.  </w:t>
      </w:r>
      <w:r w:rsidR="00C04327" w:rsidRPr="00277397">
        <w:rPr>
          <w:rFonts w:ascii="Times New Roman" w:hAnsi="Times New Roman" w:cs="Times New Roman"/>
          <w:sz w:val="24"/>
          <w:szCs w:val="24"/>
        </w:rPr>
        <w:t xml:space="preserve">The Copyright Act makes willful infringement of copyright a crime in certain circumstances.  </w:t>
      </w:r>
      <w:bookmarkStart w:id="62" w:name="CITRUS_BOOKMARK1000000118"/>
      <w:r w:rsidR="00C04327" w:rsidRPr="00053BE8">
        <w:rPr>
          <w:rFonts w:ascii="Times New Roman" w:hAnsi="Times New Roman" w:cs="Times New Roman"/>
          <w:sz w:val="24"/>
          <w:szCs w:val="24"/>
        </w:rPr>
        <w:t>17 U.S.C. §</w:t>
      </w:r>
      <w:r w:rsidR="00ED39BD" w:rsidRPr="00053BE8">
        <w:rPr>
          <w:rFonts w:ascii="Times New Roman" w:hAnsi="Times New Roman" w:cs="Times New Roman"/>
          <w:sz w:val="24"/>
          <w:szCs w:val="24"/>
        </w:rPr>
        <w:t xml:space="preserve"> 506</w:t>
      </w:r>
      <w:bookmarkEnd w:id="62"/>
      <w:r w:rsidR="00ED39BD" w:rsidRPr="00277397">
        <w:rPr>
          <w:rFonts w:ascii="Times New Roman" w:hAnsi="Times New Roman" w:cs="Times New Roman"/>
          <w:sz w:val="24"/>
          <w:szCs w:val="24"/>
        </w:rPr>
        <w:t>.</w:t>
      </w:r>
      <w:r w:rsidRPr="00277397">
        <w:rPr>
          <w:rFonts w:ascii="Times New Roman" w:hAnsi="Times New Roman" w:cs="Times New Roman"/>
          <w:sz w:val="24"/>
          <w:szCs w:val="24"/>
        </w:rPr>
        <w:t xml:space="preserve">  However, the rule of l</w:t>
      </w:r>
      <w:r w:rsidR="00ED39BD" w:rsidRPr="00277397">
        <w:rPr>
          <w:rFonts w:ascii="Times New Roman" w:hAnsi="Times New Roman" w:cs="Times New Roman"/>
          <w:sz w:val="24"/>
          <w:szCs w:val="24"/>
        </w:rPr>
        <w:t xml:space="preserve">enity provides that when there is ambiguity in the reading of a </w:t>
      </w:r>
      <w:r w:rsidR="00DE0090" w:rsidRPr="00277397">
        <w:rPr>
          <w:rFonts w:ascii="Times New Roman" w:hAnsi="Times New Roman" w:cs="Times New Roman"/>
          <w:sz w:val="24"/>
          <w:szCs w:val="24"/>
        </w:rPr>
        <w:t xml:space="preserve">civil provision within a </w:t>
      </w:r>
      <w:r w:rsidR="00ED39BD" w:rsidRPr="00277397">
        <w:rPr>
          <w:rFonts w:ascii="Times New Roman" w:hAnsi="Times New Roman" w:cs="Times New Roman"/>
          <w:sz w:val="24"/>
          <w:szCs w:val="24"/>
        </w:rPr>
        <w:t xml:space="preserve">criminal statute, the interpretation most </w:t>
      </w:r>
      <w:r w:rsidR="002B6136" w:rsidRPr="00277397">
        <w:rPr>
          <w:rFonts w:ascii="Times New Roman" w:hAnsi="Times New Roman" w:cs="Times New Roman"/>
          <w:sz w:val="24"/>
          <w:szCs w:val="24"/>
        </w:rPr>
        <w:t>favorable to the defendant is</w:t>
      </w:r>
      <w:r w:rsidR="00ED39BD" w:rsidRPr="00277397">
        <w:rPr>
          <w:rFonts w:ascii="Times New Roman" w:hAnsi="Times New Roman" w:cs="Times New Roman"/>
          <w:sz w:val="24"/>
          <w:szCs w:val="24"/>
        </w:rPr>
        <w:t xml:space="preserve"> preferable.</w:t>
      </w:r>
      <w:r w:rsidR="00A406EB" w:rsidRPr="00277397">
        <w:rPr>
          <w:rFonts w:ascii="Times New Roman" w:hAnsi="Times New Roman" w:cs="Times New Roman"/>
          <w:sz w:val="24"/>
          <w:szCs w:val="24"/>
        </w:rPr>
        <w:t xml:space="preserve"> </w:t>
      </w:r>
      <w:r w:rsidR="00ED39BD" w:rsidRPr="00277397">
        <w:rPr>
          <w:rFonts w:ascii="Times New Roman" w:hAnsi="Times New Roman" w:cs="Times New Roman"/>
          <w:sz w:val="24"/>
          <w:szCs w:val="24"/>
        </w:rPr>
        <w:t xml:space="preserve"> </w:t>
      </w:r>
      <w:bookmarkStart w:id="63" w:name="CITRUS_BOOKMARK119"/>
      <w:r w:rsidR="00ED39BD" w:rsidRPr="00585208">
        <w:rPr>
          <w:rFonts w:ascii="Times New Roman" w:hAnsi="Times New Roman" w:cs="Times New Roman"/>
          <w:iCs/>
          <w:sz w:val="24"/>
          <w:szCs w:val="24"/>
          <w:u w:val="single"/>
        </w:rPr>
        <w:t xml:space="preserve">Pasquantino v. </w:t>
      </w:r>
      <w:r w:rsidR="00ED39BD" w:rsidRPr="00C2432F">
        <w:rPr>
          <w:rFonts w:ascii="Times New Roman" w:hAnsi="Times New Roman" w:cs="Times New Roman"/>
          <w:iCs/>
          <w:sz w:val="24"/>
          <w:szCs w:val="24"/>
          <w:u w:val="single"/>
        </w:rPr>
        <w:t>United States</w:t>
      </w:r>
      <w:r w:rsidR="002B6136" w:rsidRPr="00585208">
        <w:rPr>
          <w:rFonts w:ascii="Times New Roman" w:hAnsi="Times New Roman" w:cs="Times New Roman"/>
          <w:sz w:val="24"/>
          <w:szCs w:val="24"/>
        </w:rPr>
        <w:t>, 544 U.S. 349, 383 (2005)</w:t>
      </w:r>
      <w:bookmarkEnd w:id="63"/>
      <w:r w:rsidR="00A406EB" w:rsidRPr="00277397">
        <w:rPr>
          <w:rFonts w:ascii="Times New Roman" w:hAnsi="Times New Roman" w:cs="Times New Roman"/>
          <w:sz w:val="24"/>
          <w:szCs w:val="24"/>
        </w:rPr>
        <w:t>;</w:t>
      </w:r>
      <w:r w:rsidR="00DE0090" w:rsidRPr="00277397">
        <w:rPr>
          <w:rFonts w:ascii="Times New Roman" w:hAnsi="Times New Roman" w:cs="Times New Roman"/>
          <w:sz w:val="24"/>
          <w:szCs w:val="24"/>
        </w:rPr>
        <w:t xml:space="preserve"> </w:t>
      </w:r>
      <w:bookmarkStart w:id="64" w:name="CITRUS_BOOKMARK120"/>
      <w:r w:rsidR="00ED39BD" w:rsidRPr="00053BE8">
        <w:rPr>
          <w:rFonts w:ascii="Times New Roman" w:hAnsi="Times New Roman" w:cs="Times New Roman"/>
          <w:iCs/>
          <w:sz w:val="24"/>
          <w:szCs w:val="24"/>
          <w:u w:val="single"/>
        </w:rPr>
        <w:t xml:space="preserve">Leocal v. </w:t>
      </w:r>
      <w:r w:rsidR="00ED39BD" w:rsidRPr="00C2432F">
        <w:rPr>
          <w:rFonts w:ascii="Times New Roman" w:hAnsi="Times New Roman" w:cs="Times New Roman"/>
          <w:iCs/>
          <w:sz w:val="24"/>
          <w:szCs w:val="24"/>
          <w:u w:val="single"/>
        </w:rPr>
        <w:t>Ashcroft</w:t>
      </w:r>
      <w:r w:rsidR="00DE0090" w:rsidRPr="00053BE8">
        <w:rPr>
          <w:rFonts w:ascii="Times New Roman" w:hAnsi="Times New Roman" w:cs="Times New Roman"/>
          <w:sz w:val="24"/>
          <w:szCs w:val="24"/>
        </w:rPr>
        <w:t>, 543 U.S. 1, 11 n.8 (2004)</w:t>
      </w:r>
      <w:bookmarkEnd w:id="64"/>
      <w:r w:rsidR="00DE0090" w:rsidRPr="00277397">
        <w:rPr>
          <w:rFonts w:ascii="Times New Roman" w:hAnsi="Times New Roman" w:cs="Times New Roman"/>
          <w:sz w:val="24"/>
          <w:szCs w:val="24"/>
        </w:rPr>
        <w:t>.</w:t>
      </w:r>
    </w:p>
    <w:p w14:paraId="0724DCAF" w14:textId="77777777" w:rsidR="00DE0090" w:rsidRPr="00277397" w:rsidRDefault="00AC1EF0" w:rsidP="00A406EB">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As the interpretation most favorable to the defendant is preferable under the rule of lenity, the statute would be interpreted to require that the screenplay is not “made for hire” because the agreement between OGS and Lime was signed after Lime began the work</w:t>
      </w:r>
      <w:r w:rsidRPr="00277397">
        <w:rPr>
          <w:rFonts w:ascii="Times New Roman" w:hAnsi="Times New Roman" w:cs="Times New Roman"/>
          <w:b/>
          <w:sz w:val="24"/>
          <w:szCs w:val="24"/>
        </w:rPr>
        <w:t xml:space="preserve">.  </w:t>
      </w:r>
      <w:r w:rsidR="00E04C53" w:rsidRPr="00277397">
        <w:rPr>
          <w:rFonts w:ascii="Times New Roman" w:hAnsi="Times New Roman" w:cs="Times New Roman"/>
          <w:b/>
          <w:sz w:val="24"/>
          <w:szCs w:val="24"/>
        </w:rPr>
        <w:t xml:space="preserve"> </w:t>
      </w:r>
      <w:r w:rsidR="00A406EB" w:rsidRPr="00277397">
        <w:rPr>
          <w:rFonts w:ascii="Times New Roman" w:hAnsi="Times New Roman" w:cs="Times New Roman"/>
          <w:sz w:val="24"/>
          <w:szCs w:val="24"/>
        </w:rPr>
        <w:t>The court must find that Lime’s screenplay, “Anticipatory Repudiation,” is not “made for hire” u</w:t>
      </w:r>
      <w:r w:rsidR="00624F95">
        <w:rPr>
          <w:rFonts w:ascii="Times New Roman" w:hAnsi="Times New Roman" w:cs="Times New Roman"/>
          <w:sz w:val="24"/>
          <w:szCs w:val="24"/>
        </w:rPr>
        <w:t>nder the statute.  Because the C</w:t>
      </w:r>
      <w:r w:rsidR="00A406EB" w:rsidRPr="00277397">
        <w:rPr>
          <w:rFonts w:ascii="Times New Roman" w:hAnsi="Times New Roman" w:cs="Times New Roman"/>
          <w:sz w:val="24"/>
          <w:szCs w:val="24"/>
        </w:rPr>
        <w:t>ourt must find that Lime owned the screenplay, she did not commit copyright infringement.</w:t>
      </w:r>
    </w:p>
    <w:p w14:paraId="2C32D694" w14:textId="77777777" w:rsidR="00A406EB" w:rsidRPr="00277397" w:rsidRDefault="002951A6" w:rsidP="00A406EB">
      <w:pPr>
        <w:pStyle w:val="NoSpacing"/>
        <w:numPr>
          <w:ilvl w:val="0"/>
          <w:numId w:val="32"/>
        </w:numPr>
        <w:jc w:val="both"/>
        <w:rPr>
          <w:rFonts w:ascii="Times New Roman" w:hAnsi="Times New Roman" w:cs="Times New Roman"/>
          <w:b/>
          <w:sz w:val="24"/>
          <w:szCs w:val="24"/>
        </w:rPr>
      </w:pPr>
      <w:r w:rsidRPr="00277397">
        <w:rPr>
          <w:rFonts w:ascii="Times New Roman" w:hAnsi="Times New Roman" w:cs="Times New Roman"/>
          <w:b/>
          <w:sz w:val="24"/>
          <w:szCs w:val="24"/>
        </w:rPr>
        <w:t>Other Jurisdictions Support a Motion for Dismissal Because OGS and Lime Did Not Sign a “Made-For-Hire” Agreement</w:t>
      </w:r>
      <w:r w:rsidR="006E01B8" w:rsidRPr="00277397">
        <w:rPr>
          <w:rFonts w:ascii="Times New Roman" w:hAnsi="Times New Roman" w:cs="Times New Roman"/>
          <w:b/>
          <w:sz w:val="24"/>
          <w:szCs w:val="24"/>
        </w:rPr>
        <w:t xml:space="preserve"> Preceding the </w:t>
      </w:r>
      <w:r w:rsidR="00AC1EF0" w:rsidRPr="00277397">
        <w:rPr>
          <w:rFonts w:ascii="Times New Roman" w:hAnsi="Times New Roman" w:cs="Times New Roman"/>
          <w:b/>
          <w:sz w:val="24"/>
          <w:szCs w:val="24"/>
        </w:rPr>
        <w:t>Commissioned Work</w:t>
      </w:r>
      <w:r w:rsidRPr="00277397">
        <w:rPr>
          <w:rFonts w:ascii="Times New Roman" w:hAnsi="Times New Roman" w:cs="Times New Roman"/>
          <w:b/>
          <w:sz w:val="24"/>
          <w:szCs w:val="24"/>
        </w:rPr>
        <w:t>.</w:t>
      </w:r>
    </w:p>
    <w:p w14:paraId="355EBDAA" w14:textId="77777777" w:rsidR="00A406EB" w:rsidRPr="00277397" w:rsidRDefault="00A406EB" w:rsidP="00A406EB">
      <w:pPr>
        <w:pStyle w:val="NoSpacing"/>
        <w:jc w:val="both"/>
        <w:rPr>
          <w:rFonts w:ascii="Times New Roman" w:hAnsi="Times New Roman" w:cs="Times New Roman"/>
          <w:b/>
          <w:sz w:val="24"/>
          <w:szCs w:val="24"/>
        </w:rPr>
      </w:pPr>
    </w:p>
    <w:p w14:paraId="0E9EEAB1" w14:textId="77777777" w:rsidR="00015758" w:rsidRPr="00277397" w:rsidRDefault="00771C4C" w:rsidP="00A406EB">
      <w:pPr>
        <w:pStyle w:val="NoSpacing"/>
        <w:spacing w:line="480" w:lineRule="auto"/>
        <w:ind w:firstLine="720"/>
        <w:jc w:val="both"/>
        <w:rPr>
          <w:rFonts w:ascii="Times New Roman" w:hAnsi="Times New Roman" w:cs="Times New Roman"/>
          <w:sz w:val="24"/>
          <w:szCs w:val="24"/>
        </w:rPr>
      </w:pPr>
      <w:bookmarkStart w:id="65" w:name="CITRUS_HEADING146633431"/>
      <w:r w:rsidRPr="00277397">
        <w:rPr>
          <w:rFonts w:ascii="Times New Roman" w:hAnsi="Times New Roman" w:cs="Times New Roman"/>
          <w:sz w:val="24"/>
          <w:szCs w:val="24"/>
        </w:rPr>
        <w:t>Cases in multiple jurisdictions are consistent with Lime’s interp</w:t>
      </w:r>
      <w:r w:rsidR="002126C3" w:rsidRPr="00277397">
        <w:rPr>
          <w:rFonts w:ascii="Times New Roman" w:hAnsi="Times New Roman" w:cs="Times New Roman"/>
          <w:sz w:val="24"/>
          <w:szCs w:val="24"/>
        </w:rPr>
        <w:t xml:space="preserve">retation of the Copyright Act.  </w:t>
      </w:r>
      <w:r w:rsidR="00962C56" w:rsidRPr="00277397">
        <w:rPr>
          <w:rFonts w:ascii="Times New Roman" w:hAnsi="Times New Roman" w:cs="Times New Roman"/>
          <w:sz w:val="24"/>
          <w:szCs w:val="24"/>
        </w:rPr>
        <w:t>Case law adopts</w:t>
      </w:r>
      <w:r w:rsidR="002126C3" w:rsidRPr="00277397">
        <w:rPr>
          <w:rFonts w:ascii="Times New Roman" w:hAnsi="Times New Roman" w:cs="Times New Roman"/>
          <w:sz w:val="24"/>
          <w:szCs w:val="24"/>
        </w:rPr>
        <w:t xml:space="preserve"> a </w:t>
      </w:r>
      <w:r w:rsidR="00962C56" w:rsidRPr="00277397">
        <w:rPr>
          <w:rFonts w:ascii="Times New Roman" w:hAnsi="Times New Roman" w:cs="Times New Roman"/>
          <w:sz w:val="24"/>
          <w:szCs w:val="24"/>
        </w:rPr>
        <w:t xml:space="preserve">bright-line </w:t>
      </w:r>
      <w:r w:rsidR="002126C3" w:rsidRPr="00277397">
        <w:rPr>
          <w:rFonts w:ascii="Times New Roman" w:hAnsi="Times New Roman" w:cs="Times New Roman"/>
          <w:sz w:val="24"/>
          <w:szCs w:val="24"/>
        </w:rPr>
        <w:t>literal inter</w:t>
      </w:r>
      <w:r w:rsidR="00962C56" w:rsidRPr="00277397">
        <w:rPr>
          <w:rFonts w:ascii="Times New Roman" w:hAnsi="Times New Roman" w:cs="Times New Roman"/>
          <w:sz w:val="24"/>
          <w:szCs w:val="24"/>
        </w:rPr>
        <w:t>pretation of the Copyright Act.</w:t>
      </w:r>
      <w:r w:rsidR="006F78A4">
        <w:rPr>
          <w:rFonts w:ascii="Times New Roman" w:hAnsi="Times New Roman" w:cs="Times New Roman"/>
          <w:sz w:val="24"/>
          <w:szCs w:val="24"/>
        </w:rPr>
        <w:t xml:space="preserve">  The facts in the instant case are insufficient to meet the “exception” created in the Seventh Circuit.  Ruling in favor of Lime best preserves predictability, one of the central purposes of the Copyright Act.</w:t>
      </w:r>
    </w:p>
    <w:p w14:paraId="019E4A2B" w14:textId="77777777" w:rsidR="000404A4" w:rsidRPr="00277397" w:rsidRDefault="000404A4" w:rsidP="000404A4">
      <w:pPr>
        <w:pStyle w:val="NoSpacing"/>
        <w:numPr>
          <w:ilvl w:val="0"/>
          <w:numId w:val="38"/>
        </w:numPr>
        <w:jc w:val="both"/>
        <w:rPr>
          <w:rFonts w:ascii="Times New Roman" w:hAnsi="Times New Roman" w:cs="Times New Roman"/>
          <w:b/>
          <w:sz w:val="24"/>
          <w:szCs w:val="24"/>
        </w:rPr>
      </w:pPr>
      <w:r w:rsidRPr="00277397">
        <w:rPr>
          <w:rFonts w:ascii="Times New Roman" w:hAnsi="Times New Roman" w:cs="Times New Roman"/>
          <w:b/>
          <w:sz w:val="24"/>
          <w:szCs w:val="24"/>
        </w:rPr>
        <w:lastRenderedPageBreak/>
        <w:t xml:space="preserve">A Bright-Line Literal Interpretation of </w:t>
      </w:r>
      <w:bookmarkStart w:id="66" w:name="CITRUS_BOOKMARK1000000155"/>
      <w:r w:rsidRPr="00285AE2">
        <w:rPr>
          <w:rFonts w:ascii="Times New Roman" w:hAnsi="Times New Roman" w:cs="Times New Roman"/>
          <w:b/>
          <w:sz w:val="24"/>
          <w:szCs w:val="24"/>
        </w:rPr>
        <w:t>17 U.S.C</w:t>
      </w:r>
      <w:r w:rsidR="00285AE2" w:rsidRPr="00285AE2">
        <w:rPr>
          <w:rFonts w:ascii="Times New Roman" w:hAnsi="Times New Roman" w:cs="Times New Roman"/>
          <w:b/>
          <w:sz w:val="24"/>
          <w:szCs w:val="24"/>
        </w:rPr>
        <w:t>.</w:t>
      </w:r>
      <w:r w:rsidRPr="00285AE2">
        <w:rPr>
          <w:rFonts w:ascii="Times New Roman" w:hAnsi="Times New Roman" w:cs="Times New Roman"/>
          <w:b/>
          <w:sz w:val="24"/>
          <w:szCs w:val="24"/>
        </w:rPr>
        <w:t xml:space="preserve"> § 10</w:t>
      </w:r>
      <w:bookmarkEnd w:id="66"/>
      <w:r w:rsidRPr="00277397">
        <w:rPr>
          <w:rFonts w:ascii="Times New Roman" w:hAnsi="Times New Roman" w:cs="Times New Roman"/>
          <w:b/>
          <w:sz w:val="24"/>
          <w:szCs w:val="24"/>
        </w:rPr>
        <w:t>1(2) Mandates a Pre-Creation Written Agreement and Finds Oral Consent Irrelevant.</w:t>
      </w:r>
    </w:p>
    <w:p w14:paraId="308FFA23" w14:textId="77777777" w:rsidR="000404A4" w:rsidRPr="00277397" w:rsidRDefault="000404A4" w:rsidP="000404A4">
      <w:pPr>
        <w:pStyle w:val="NoSpacing"/>
        <w:ind w:left="1080"/>
        <w:jc w:val="both"/>
        <w:rPr>
          <w:rFonts w:ascii="Times New Roman" w:hAnsi="Times New Roman" w:cs="Times New Roman"/>
          <w:b/>
          <w:sz w:val="24"/>
          <w:szCs w:val="24"/>
        </w:rPr>
      </w:pPr>
    </w:p>
    <w:p w14:paraId="1E7BD221" w14:textId="77777777" w:rsidR="00312AC6" w:rsidRPr="00277397" w:rsidRDefault="000404A4" w:rsidP="00312AC6">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 xml:space="preserve">Taking Congressional intent into account, the </w:t>
      </w:r>
      <w:r w:rsidRPr="00277397">
        <w:rPr>
          <w:rFonts w:ascii="Times New Roman" w:hAnsi="Times New Roman" w:cs="Times New Roman"/>
          <w:sz w:val="24"/>
          <w:szCs w:val="24"/>
          <w:u w:val="single"/>
        </w:rPr>
        <w:t>Easter Seal</w:t>
      </w:r>
      <w:r w:rsidR="00463D8C">
        <w:rPr>
          <w:rFonts w:ascii="Times New Roman" w:hAnsi="Times New Roman" w:cs="Times New Roman"/>
          <w:sz w:val="24"/>
          <w:szCs w:val="24"/>
        </w:rPr>
        <w:t xml:space="preserve"> c</w:t>
      </w:r>
      <w:r w:rsidRPr="00277397">
        <w:rPr>
          <w:rFonts w:ascii="Times New Roman" w:hAnsi="Times New Roman" w:cs="Times New Roman"/>
          <w:sz w:val="24"/>
          <w:szCs w:val="24"/>
        </w:rPr>
        <w:t xml:space="preserve">ourt adopted a literal interpretation of the Copyright Act’s “made for hire” provisions.  </w:t>
      </w:r>
      <w:r w:rsidR="00463D8C" w:rsidRPr="00277397">
        <w:rPr>
          <w:rFonts w:ascii="Times New Roman" w:hAnsi="Times New Roman" w:cs="Times New Roman"/>
          <w:sz w:val="24"/>
          <w:szCs w:val="24"/>
          <w:u w:val="single"/>
        </w:rPr>
        <w:t>Easter Seal Soc. for Crippled Children &amp; Adults, Inc. v. Playboy Enters</w:t>
      </w:r>
      <w:r w:rsidR="00463D8C" w:rsidRPr="00AE3199">
        <w:rPr>
          <w:rFonts w:ascii="Times New Roman" w:hAnsi="Times New Roman" w:cs="Times New Roman"/>
          <w:i/>
          <w:sz w:val="24"/>
          <w:szCs w:val="24"/>
          <w:u w:val="single"/>
        </w:rPr>
        <w:t>.</w:t>
      </w:r>
      <w:r w:rsidR="00463D8C">
        <w:rPr>
          <w:rFonts w:ascii="Times New Roman" w:hAnsi="Times New Roman" w:cs="Times New Roman"/>
          <w:sz w:val="24"/>
          <w:szCs w:val="24"/>
        </w:rPr>
        <w:t xml:space="preserve">, 815 F.2d 323, 334-335. </w:t>
      </w:r>
      <w:r w:rsidRPr="00277397">
        <w:rPr>
          <w:rFonts w:ascii="Times New Roman" w:hAnsi="Times New Roman" w:cs="Times New Roman"/>
          <w:sz w:val="24"/>
          <w:szCs w:val="24"/>
        </w:rPr>
        <w:t xml:space="preserve">  </w:t>
      </w:r>
      <w:r w:rsidR="009F7935" w:rsidRPr="00277397">
        <w:rPr>
          <w:rFonts w:ascii="Times New Roman" w:hAnsi="Times New Roman" w:cs="Times New Roman"/>
          <w:sz w:val="24"/>
          <w:szCs w:val="24"/>
        </w:rPr>
        <w:t>T</w:t>
      </w:r>
      <w:r w:rsidR="00015758" w:rsidRPr="00277397">
        <w:rPr>
          <w:rFonts w:ascii="Times New Roman" w:hAnsi="Times New Roman" w:cs="Times New Roman"/>
          <w:sz w:val="24"/>
          <w:szCs w:val="24"/>
        </w:rPr>
        <w:t xml:space="preserve">he United States Court of Appeals for the Fifth Circuit held </w:t>
      </w:r>
      <w:r w:rsidR="00463D8C">
        <w:rPr>
          <w:rFonts w:ascii="Times New Roman" w:hAnsi="Times New Roman" w:cs="Times New Roman"/>
          <w:sz w:val="24"/>
          <w:szCs w:val="24"/>
        </w:rPr>
        <w:t xml:space="preserve">that by enacting </w:t>
      </w:r>
      <w:r w:rsidR="00015758" w:rsidRPr="00277397">
        <w:rPr>
          <w:rFonts w:ascii="Times New Roman" w:hAnsi="Times New Roman" w:cs="Times New Roman"/>
          <w:sz w:val="24"/>
          <w:szCs w:val="24"/>
        </w:rPr>
        <w:t>the Copyright Act of 1976, Congress moved to restrict “the scope of the ‘work for hire’ doctrine.”</w:t>
      </w:r>
      <w:r w:rsidR="00962C56" w:rsidRPr="00277397">
        <w:rPr>
          <w:rFonts w:ascii="Times New Roman" w:hAnsi="Times New Roman" w:cs="Times New Roman"/>
          <w:sz w:val="24"/>
          <w:szCs w:val="24"/>
        </w:rPr>
        <w:t xml:space="preserve">  </w:t>
      </w:r>
      <w:r w:rsidR="00463D8C" w:rsidRPr="00277397">
        <w:rPr>
          <w:rFonts w:ascii="Times New Roman" w:hAnsi="Times New Roman" w:cs="Times New Roman"/>
          <w:sz w:val="24"/>
          <w:szCs w:val="24"/>
          <w:u w:val="single"/>
        </w:rPr>
        <w:t>Easter Seal Soc. for Crippled Children &amp; Adults, Inc.</w:t>
      </w:r>
      <w:r w:rsidR="00585208">
        <w:rPr>
          <w:rFonts w:ascii="Times New Roman" w:hAnsi="Times New Roman" w:cs="Times New Roman"/>
          <w:sz w:val="24"/>
          <w:szCs w:val="24"/>
        </w:rPr>
        <w:t>, 815 F.2d at</w:t>
      </w:r>
      <w:r w:rsidR="00463D8C">
        <w:rPr>
          <w:rFonts w:ascii="Times New Roman" w:hAnsi="Times New Roman" w:cs="Times New Roman"/>
          <w:sz w:val="24"/>
          <w:szCs w:val="24"/>
        </w:rPr>
        <w:t xml:space="preserve"> 324</w:t>
      </w:r>
      <w:r w:rsidR="00463D8C" w:rsidRPr="00277397">
        <w:rPr>
          <w:rFonts w:ascii="Times New Roman" w:hAnsi="Times New Roman" w:cs="Times New Roman"/>
          <w:sz w:val="24"/>
          <w:szCs w:val="24"/>
        </w:rPr>
        <w:t>.</w:t>
      </w:r>
      <w:r w:rsidR="00463D8C">
        <w:rPr>
          <w:rFonts w:ascii="Times New Roman" w:hAnsi="Times New Roman" w:cs="Times New Roman"/>
          <w:sz w:val="24"/>
          <w:szCs w:val="24"/>
        </w:rPr>
        <w:t xml:space="preserve">  </w:t>
      </w:r>
      <w:r w:rsidR="009F7935" w:rsidRPr="00277397">
        <w:rPr>
          <w:rFonts w:ascii="Times New Roman" w:hAnsi="Times New Roman" w:cs="Times New Roman"/>
          <w:sz w:val="24"/>
          <w:szCs w:val="24"/>
        </w:rPr>
        <w:t xml:space="preserve">A literal interpretation </w:t>
      </w:r>
      <w:r w:rsidR="00585208">
        <w:rPr>
          <w:rFonts w:ascii="Times New Roman" w:hAnsi="Times New Roman" w:cs="Times New Roman"/>
          <w:sz w:val="24"/>
          <w:szCs w:val="24"/>
        </w:rPr>
        <w:t>means</w:t>
      </w:r>
      <w:r w:rsidR="009F7935" w:rsidRPr="00277397">
        <w:rPr>
          <w:rFonts w:ascii="Times New Roman" w:hAnsi="Times New Roman" w:cs="Times New Roman"/>
          <w:sz w:val="24"/>
          <w:szCs w:val="24"/>
        </w:rPr>
        <w:t xml:space="preserve"> </w:t>
      </w:r>
      <w:bookmarkStart w:id="67" w:name="CITRUS_BOOKMARK1000000152"/>
      <w:r w:rsidR="009F7935" w:rsidRPr="00285AE2">
        <w:rPr>
          <w:rFonts w:ascii="Times New Roman" w:hAnsi="Times New Roman" w:cs="Times New Roman"/>
          <w:sz w:val="24"/>
          <w:szCs w:val="24"/>
        </w:rPr>
        <w:t>17 U.S.C</w:t>
      </w:r>
      <w:r w:rsidR="00285AE2" w:rsidRPr="00285AE2">
        <w:rPr>
          <w:rFonts w:ascii="Times New Roman" w:hAnsi="Times New Roman" w:cs="Times New Roman"/>
          <w:sz w:val="24"/>
          <w:szCs w:val="24"/>
        </w:rPr>
        <w:t>.</w:t>
      </w:r>
      <w:r w:rsidR="009F7935" w:rsidRPr="00285AE2">
        <w:rPr>
          <w:rFonts w:ascii="Times New Roman" w:hAnsi="Times New Roman" w:cs="Times New Roman"/>
          <w:sz w:val="24"/>
          <w:szCs w:val="24"/>
        </w:rPr>
        <w:t xml:space="preserve"> § 10</w:t>
      </w:r>
      <w:bookmarkEnd w:id="67"/>
      <w:r w:rsidR="009F7935" w:rsidRPr="00277397">
        <w:rPr>
          <w:rFonts w:ascii="Times New Roman" w:hAnsi="Times New Roman" w:cs="Times New Roman"/>
          <w:sz w:val="24"/>
          <w:szCs w:val="24"/>
        </w:rPr>
        <w:t xml:space="preserve">1 </w:t>
      </w:r>
      <w:r w:rsidR="00585208">
        <w:rPr>
          <w:rFonts w:ascii="Times New Roman" w:hAnsi="Times New Roman" w:cs="Times New Roman"/>
          <w:sz w:val="24"/>
          <w:szCs w:val="24"/>
        </w:rPr>
        <w:t>should be applied at written.</w:t>
      </w:r>
      <w:r w:rsidR="002126C3" w:rsidRPr="00277397">
        <w:rPr>
          <w:rFonts w:ascii="Times New Roman" w:hAnsi="Times New Roman" w:cs="Times New Roman"/>
          <w:sz w:val="24"/>
          <w:szCs w:val="24"/>
        </w:rPr>
        <w:t xml:space="preserve">  </w:t>
      </w:r>
      <w:r w:rsidR="002126C3" w:rsidRPr="00277397">
        <w:rPr>
          <w:rFonts w:ascii="Times New Roman" w:hAnsi="Times New Roman" w:cs="Times New Roman"/>
          <w:sz w:val="24"/>
          <w:szCs w:val="24"/>
          <w:u w:val="single"/>
        </w:rPr>
        <w:t>Id</w:t>
      </w:r>
      <w:r w:rsidR="00962C56" w:rsidRPr="00277397">
        <w:rPr>
          <w:rFonts w:ascii="Times New Roman" w:hAnsi="Times New Roman" w:cs="Times New Roman"/>
          <w:sz w:val="24"/>
          <w:szCs w:val="24"/>
        </w:rPr>
        <w:t>. at</w:t>
      </w:r>
      <w:r w:rsidR="002126C3" w:rsidRPr="00277397">
        <w:rPr>
          <w:rFonts w:ascii="Times New Roman" w:hAnsi="Times New Roman" w:cs="Times New Roman"/>
          <w:sz w:val="24"/>
          <w:szCs w:val="24"/>
        </w:rPr>
        <w:t xml:space="preserve"> 329</w:t>
      </w:r>
      <w:r w:rsidR="00585208">
        <w:rPr>
          <w:rFonts w:ascii="Times New Roman" w:hAnsi="Times New Roman" w:cs="Times New Roman"/>
          <w:sz w:val="24"/>
          <w:szCs w:val="24"/>
        </w:rPr>
        <w:t>.</w:t>
      </w:r>
      <w:r w:rsidR="002126C3" w:rsidRPr="00277397">
        <w:rPr>
          <w:rFonts w:ascii="Times New Roman" w:hAnsi="Times New Roman" w:cs="Times New Roman"/>
          <w:sz w:val="24"/>
          <w:szCs w:val="24"/>
        </w:rPr>
        <w:t xml:space="preserve">  As written, a </w:t>
      </w:r>
      <w:r w:rsidR="00015758" w:rsidRPr="00277397">
        <w:rPr>
          <w:rFonts w:ascii="Times New Roman" w:hAnsi="Times New Roman" w:cs="Times New Roman"/>
          <w:sz w:val="24"/>
          <w:szCs w:val="24"/>
        </w:rPr>
        <w:t xml:space="preserve">literal interpretation </w:t>
      </w:r>
      <w:r w:rsidR="002126C3" w:rsidRPr="00277397">
        <w:rPr>
          <w:rFonts w:ascii="Times New Roman" w:hAnsi="Times New Roman" w:cs="Times New Roman"/>
          <w:sz w:val="24"/>
          <w:szCs w:val="24"/>
        </w:rPr>
        <w:t xml:space="preserve">of the Copyright Act </w:t>
      </w:r>
      <w:r w:rsidR="00015758" w:rsidRPr="00277397">
        <w:rPr>
          <w:rFonts w:ascii="Times New Roman" w:hAnsi="Times New Roman" w:cs="Times New Roman"/>
          <w:sz w:val="24"/>
          <w:szCs w:val="24"/>
        </w:rPr>
        <w:t>mean</w:t>
      </w:r>
      <w:r w:rsidR="00463D8C">
        <w:rPr>
          <w:rFonts w:ascii="Times New Roman" w:hAnsi="Times New Roman" w:cs="Times New Roman"/>
          <w:sz w:val="24"/>
          <w:szCs w:val="24"/>
        </w:rPr>
        <w:t>s</w:t>
      </w:r>
      <w:r w:rsidR="00015758" w:rsidRPr="00277397">
        <w:rPr>
          <w:rFonts w:ascii="Times New Roman" w:hAnsi="Times New Roman" w:cs="Times New Roman"/>
          <w:sz w:val="24"/>
          <w:szCs w:val="24"/>
        </w:rPr>
        <w:t xml:space="preserve"> that independent contractors are always the “author”</w:t>
      </w:r>
      <w:r w:rsidR="009F7935" w:rsidRPr="00277397">
        <w:rPr>
          <w:rFonts w:ascii="Times New Roman" w:hAnsi="Times New Roman" w:cs="Times New Roman"/>
          <w:sz w:val="24"/>
          <w:szCs w:val="24"/>
        </w:rPr>
        <w:t xml:space="preserve"> unless they have signed away the</w:t>
      </w:r>
      <w:r w:rsidR="002126C3" w:rsidRPr="00277397">
        <w:rPr>
          <w:rFonts w:ascii="Times New Roman" w:hAnsi="Times New Roman" w:cs="Times New Roman"/>
          <w:sz w:val="24"/>
          <w:szCs w:val="24"/>
        </w:rPr>
        <w:t xml:space="preserve">ir authorship rights.  </w:t>
      </w:r>
      <w:r w:rsidR="002126C3" w:rsidRPr="00277397">
        <w:rPr>
          <w:rFonts w:ascii="Times New Roman" w:hAnsi="Times New Roman" w:cs="Times New Roman"/>
          <w:sz w:val="24"/>
          <w:szCs w:val="24"/>
          <w:u w:val="single"/>
        </w:rPr>
        <w:t>Id</w:t>
      </w:r>
      <w:r w:rsidR="00962C56" w:rsidRPr="00277397">
        <w:rPr>
          <w:rFonts w:ascii="Times New Roman" w:hAnsi="Times New Roman" w:cs="Times New Roman"/>
          <w:sz w:val="24"/>
          <w:szCs w:val="24"/>
        </w:rPr>
        <w:t>. at</w:t>
      </w:r>
      <w:r w:rsidR="002126C3" w:rsidRPr="00277397">
        <w:rPr>
          <w:rFonts w:ascii="Times New Roman" w:hAnsi="Times New Roman" w:cs="Times New Roman"/>
          <w:sz w:val="24"/>
          <w:szCs w:val="24"/>
        </w:rPr>
        <w:t xml:space="preserve"> 331.  The</w:t>
      </w:r>
      <w:r w:rsidR="0045263E" w:rsidRPr="00277397">
        <w:rPr>
          <w:rFonts w:ascii="Times New Roman" w:hAnsi="Times New Roman" w:cs="Times New Roman"/>
          <w:sz w:val="24"/>
          <w:szCs w:val="24"/>
        </w:rPr>
        <w:t xml:space="preserve"> </w:t>
      </w:r>
      <w:r w:rsidR="002126C3" w:rsidRPr="00277397">
        <w:rPr>
          <w:rFonts w:ascii="Times New Roman" w:hAnsi="Times New Roman" w:cs="Times New Roman"/>
          <w:sz w:val="24"/>
          <w:szCs w:val="24"/>
          <w:u w:val="single"/>
        </w:rPr>
        <w:t>Easter Seal</w:t>
      </w:r>
      <w:r w:rsidR="00463D8C">
        <w:rPr>
          <w:rFonts w:ascii="Times New Roman" w:hAnsi="Times New Roman" w:cs="Times New Roman"/>
          <w:sz w:val="24"/>
          <w:szCs w:val="24"/>
        </w:rPr>
        <w:t xml:space="preserve"> c</w:t>
      </w:r>
      <w:r w:rsidR="0045263E" w:rsidRPr="00277397">
        <w:rPr>
          <w:rFonts w:ascii="Times New Roman" w:hAnsi="Times New Roman" w:cs="Times New Roman"/>
          <w:sz w:val="24"/>
          <w:szCs w:val="24"/>
        </w:rPr>
        <w:t xml:space="preserve">ourt chose a literal interpretation of the Copyright Act because it </w:t>
      </w:r>
      <w:r w:rsidR="002126C3" w:rsidRPr="00277397">
        <w:rPr>
          <w:rFonts w:ascii="Times New Roman" w:hAnsi="Times New Roman" w:cs="Times New Roman"/>
          <w:sz w:val="24"/>
          <w:szCs w:val="24"/>
        </w:rPr>
        <w:t xml:space="preserve">ties the meaning of “made for hire” to well-developed agency law and </w:t>
      </w:r>
      <w:r w:rsidR="0045263E" w:rsidRPr="00277397">
        <w:rPr>
          <w:rStyle w:val="ssrfcpassagedeactivated"/>
          <w:rFonts w:ascii="Times New Roman" w:hAnsi="Times New Roman" w:cs="Times New Roman"/>
          <w:sz w:val="24"/>
          <w:szCs w:val="24"/>
        </w:rPr>
        <w:t xml:space="preserve">provides the greatest predictability for buyers and sellers.  </w:t>
      </w:r>
      <w:r w:rsidR="00463D8C" w:rsidRPr="00463D8C">
        <w:rPr>
          <w:rFonts w:ascii="Times New Roman" w:hAnsi="Times New Roman" w:cs="Times New Roman"/>
          <w:sz w:val="24"/>
          <w:szCs w:val="24"/>
          <w:u w:val="single"/>
        </w:rPr>
        <w:t>Id</w:t>
      </w:r>
      <w:r w:rsidR="00463D8C">
        <w:rPr>
          <w:rFonts w:ascii="Times New Roman" w:hAnsi="Times New Roman" w:cs="Times New Roman"/>
          <w:sz w:val="24"/>
          <w:szCs w:val="24"/>
        </w:rPr>
        <w:t xml:space="preserve">. </w:t>
      </w:r>
      <w:r w:rsidR="00904FD0" w:rsidRPr="00463D8C">
        <w:rPr>
          <w:rFonts w:ascii="Times New Roman" w:hAnsi="Times New Roman" w:cs="Times New Roman"/>
          <w:sz w:val="24"/>
          <w:szCs w:val="24"/>
        </w:rPr>
        <w:t>at</w:t>
      </w:r>
      <w:r w:rsidR="0045263E" w:rsidRPr="00277397">
        <w:rPr>
          <w:rFonts w:ascii="Times New Roman" w:hAnsi="Times New Roman" w:cs="Times New Roman"/>
          <w:sz w:val="24"/>
          <w:szCs w:val="24"/>
        </w:rPr>
        <w:t xml:space="preserve"> 335.</w:t>
      </w:r>
      <w:r w:rsidR="00463D8C">
        <w:rPr>
          <w:rFonts w:ascii="Times New Roman" w:hAnsi="Times New Roman" w:cs="Times New Roman"/>
          <w:sz w:val="24"/>
          <w:szCs w:val="24"/>
        </w:rPr>
        <w:t xml:space="preserve">  </w:t>
      </w:r>
      <w:r w:rsidR="00312AC6" w:rsidRPr="00277397">
        <w:rPr>
          <w:rFonts w:ascii="Times New Roman" w:hAnsi="Times New Roman" w:cs="Times New Roman"/>
          <w:sz w:val="24"/>
          <w:szCs w:val="24"/>
        </w:rPr>
        <w:t>The</w:t>
      </w:r>
      <w:r w:rsidR="0045263E" w:rsidRPr="00277397">
        <w:rPr>
          <w:rFonts w:ascii="Times New Roman" w:hAnsi="Times New Roman" w:cs="Times New Roman"/>
          <w:sz w:val="24"/>
          <w:szCs w:val="24"/>
        </w:rPr>
        <w:t xml:space="preserve"> court </w:t>
      </w:r>
      <w:r w:rsidR="00312AC6" w:rsidRPr="00277397">
        <w:rPr>
          <w:rFonts w:ascii="Times New Roman" w:hAnsi="Times New Roman" w:cs="Times New Roman"/>
          <w:sz w:val="24"/>
          <w:szCs w:val="24"/>
        </w:rPr>
        <w:t>applies</w:t>
      </w:r>
      <w:r w:rsidR="0045263E" w:rsidRPr="00277397">
        <w:rPr>
          <w:rFonts w:ascii="Times New Roman" w:hAnsi="Times New Roman" w:cs="Times New Roman"/>
          <w:sz w:val="24"/>
          <w:szCs w:val="24"/>
        </w:rPr>
        <w:t xml:space="preserve"> a bright-line rule for determining whether a work was </w:t>
      </w:r>
      <w:r w:rsidR="00312AC6" w:rsidRPr="00277397">
        <w:rPr>
          <w:rFonts w:ascii="Times New Roman" w:hAnsi="Times New Roman" w:cs="Times New Roman"/>
          <w:sz w:val="24"/>
          <w:szCs w:val="24"/>
        </w:rPr>
        <w:t>“</w:t>
      </w:r>
      <w:r w:rsidR="0045263E" w:rsidRPr="00277397">
        <w:rPr>
          <w:rFonts w:ascii="Times New Roman" w:hAnsi="Times New Roman" w:cs="Times New Roman"/>
          <w:sz w:val="24"/>
          <w:szCs w:val="24"/>
        </w:rPr>
        <w:t xml:space="preserve">made </w:t>
      </w:r>
      <w:r w:rsidR="00312AC6" w:rsidRPr="00277397">
        <w:rPr>
          <w:rFonts w:ascii="Times New Roman" w:hAnsi="Times New Roman" w:cs="Times New Roman"/>
          <w:sz w:val="24"/>
          <w:szCs w:val="24"/>
        </w:rPr>
        <w:t>for hire</w:t>
      </w:r>
      <w:r w:rsidR="006B1815" w:rsidRPr="00277397">
        <w:rPr>
          <w:rFonts w:ascii="Times New Roman" w:hAnsi="Times New Roman" w:cs="Times New Roman"/>
          <w:sz w:val="24"/>
          <w:szCs w:val="24"/>
        </w:rPr>
        <w:t xml:space="preserve">” under the Copyright Act.  </w:t>
      </w:r>
      <w:r w:rsidR="00904FD0" w:rsidRPr="00277397">
        <w:rPr>
          <w:rFonts w:ascii="Times New Roman" w:hAnsi="Times New Roman" w:cs="Times New Roman"/>
          <w:sz w:val="24"/>
          <w:szCs w:val="24"/>
          <w:u w:val="single"/>
        </w:rPr>
        <w:t>Id</w:t>
      </w:r>
      <w:r w:rsidR="00904FD0" w:rsidRPr="00277397">
        <w:rPr>
          <w:rFonts w:ascii="Times New Roman" w:hAnsi="Times New Roman" w:cs="Times New Roman"/>
          <w:sz w:val="24"/>
          <w:szCs w:val="24"/>
        </w:rPr>
        <w:t>.</w:t>
      </w:r>
      <w:r w:rsidR="00312AC6" w:rsidRPr="00277397">
        <w:rPr>
          <w:rFonts w:ascii="Times New Roman" w:hAnsi="Times New Roman" w:cs="Times New Roman"/>
          <w:sz w:val="24"/>
          <w:szCs w:val="24"/>
        </w:rPr>
        <w:t xml:space="preserve"> at 337.</w:t>
      </w:r>
      <w:r w:rsidR="0045331D" w:rsidRPr="00277397">
        <w:rPr>
          <w:rFonts w:ascii="Times New Roman" w:hAnsi="Times New Roman" w:cs="Times New Roman"/>
          <w:sz w:val="24"/>
          <w:szCs w:val="24"/>
        </w:rPr>
        <w:t xml:space="preserve">  </w:t>
      </w:r>
    </w:p>
    <w:p w14:paraId="0F3910EC" w14:textId="77777777" w:rsidR="00AC04DF" w:rsidRPr="00277397" w:rsidRDefault="00312AC6" w:rsidP="00312AC6">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 xml:space="preserve">The </w:t>
      </w:r>
      <w:r w:rsidRPr="00277397">
        <w:rPr>
          <w:rFonts w:ascii="Times New Roman" w:hAnsi="Times New Roman" w:cs="Times New Roman"/>
          <w:sz w:val="24"/>
          <w:szCs w:val="24"/>
          <w:u w:val="single"/>
        </w:rPr>
        <w:t>Easter Seal</w:t>
      </w:r>
      <w:r w:rsidR="00463D8C">
        <w:rPr>
          <w:rFonts w:ascii="Times New Roman" w:hAnsi="Times New Roman" w:cs="Times New Roman"/>
          <w:sz w:val="24"/>
          <w:szCs w:val="24"/>
        </w:rPr>
        <w:t xml:space="preserve"> c</w:t>
      </w:r>
      <w:r w:rsidRPr="00277397">
        <w:rPr>
          <w:rFonts w:ascii="Times New Roman" w:hAnsi="Times New Roman" w:cs="Times New Roman"/>
          <w:sz w:val="24"/>
          <w:szCs w:val="24"/>
        </w:rPr>
        <w:t xml:space="preserve">ourt’s reasoning is highly applicable in the instant case.  A literal interpretation simply applies the statute </w:t>
      </w:r>
      <w:r w:rsidR="00C53F5C" w:rsidRPr="00277397">
        <w:rPr>
          <w:rFonts w:ascii="Times New Roman" w:hAnsi="Times New Roman" w:cs="Times New Roman"/>
          <w:sz w:val="24"/>
          <w:szCs w:val="24"/>
        </w:rPr>
        <w:t xml:space="preserve">to the facts.  When applying </w:t>
      </w:r>
      <w:bookmarkStart w:id="68" w:name="CITRUS_BOOKMARK1000000153"/>
      <w:r w:rsidR="00C53F5C" w:rsidRPr="00285AE2">
        <w:rPr>
          <w:rFonts w:ascii="Times New Roman" w:hAnsi="Times New Roman" w:cs="Times New Roman"/>
          <w:sz w:val="24"/>
          <w:szCs w:val="24"/>
        </w:rPr>
        <w:t>17 U.S.C</w:t>
      </w:r>
      <w:r w:rsidR="00285AE2" w:rsidRPr="00285AE2">
        <w:rPr>
          <w:rFonts w:ascii="Times New Roman" w:hAnsi="Times New Roman" w:cs="Times New Roman"/>
          <w:sz w:val="24"/>
          <w:szCs w:val="24"/>
        </w:rPr>
        <w:t>.</w:t>
      </w:r>
      <w:r w:rsidR="00C53F5C" w:rsidRPr="00285AE2">
        <w:rPr>
          <w:rFonts w:ascii="Times New Roman" w:hAnsi="Times New Roman" w:cs="Times New Roman"/>
          <w:sz w:val="24"/>
          <w:szCs w:val="24"/>
        </w:rPr>
        <w:t xml:space="preserve"> § 101(2)</w:t>
      </w:r>
      <w:bookmarkEnd w:id="68"/>
      <w:r w:rsidR="00C53F5C" w:rsidRPr="00277397">
        <w:rPr>
          <w:rFonts w:ascii="Times New Roman" w:hAnsi="Times New Roman" w:cs="Times New Roman"/>
          <w:sz w:val="24"/>
          <w:szCs w:val="24"/>
        </w:rPr>
        <w:t xml:space="preserve"> to “Anticipatory Repudiation,” it is clear that the screenplay is not “made for hire” because it does not satisfy each statutory requirement.  It is inconsequential that Lime verbally consented to an agreement or that she signed a “Made for Hire” agreement on April 6</w:t>
      </w:r>
      <w:r w:rsidR="00C53F5C" w:rsidRPr="00277397">
        <w:rPr>
          <w:rFonts w:ascii="Times New Roman" w:hAnsi="Times New Roman" w:cs="Times New Roman"/>
          <w:sz w:val="24"/>
          <w:szCs w:val="24"/>
          <w:vertAlign w:val="superscript"/>
        </w:rPr>
        <w:t>th</w:t>
      </w:r>
      <w:r w:rsidR="00C53F5C" w:rsidRPr="00277397">
        <w:rPr>
          <w:rFonts w:ascii="Times New Roman" w:hAnsi="Times New Roman" w:cs="Times New Roman"/>
          <w:sz w:val="24"/>
          <w:szCs w:val="24"/>
        </w:rPr>
        <w:t xml:space="preserve"> because in order for the screenplay to be considered “made for hire,” Lime and OGS must have signed the agreement befo</w:t>
      </w:r>
      <w:r w:rsidR="00962C56" w:rsidRPr="00277397">
        <w:rPr>
          <w:rFonts w:ascii="Times New Roman" w:hAnsi="Times New Roman" w:cs="Times New Roman"/>
          <w:sz w:val="24"/>
          <w:szCs w:val="24"/>
        </w:rPr>
        <w:t xml:space="preserve">re the screenplay was created.  </w:t>
      </w:r>
      <w:r w:rsidR="00C53F5C" w:rsidRPr="00277397">
        <w:rPr>
          <w:rFonts w:ascii="Times New Roman" w:hAnsi="Times New Roman" w:cs="Times New Roman"/>
          <w:sz w:val="24"/>
          <w:szCs w:val="24"/>
        </w:rPr>
        <w:t xml:space="preserve">This interpretation aligns well with the </w:t>
      </w:r>
      <w:r w:rsidR="00C53F5C" w:rsidRPr="00277397">
        <w:rPr>
          <w:rFonts w:ascii="Times New Roman" w:hAnsi="Times New Roman" w:cs="Times New Roman"/>
          <w:sz w:val="24"/>
          <w:szCs w:val="24"/>
          <w:u w:val="single"/>
        </w:rPr>
        <w:t>Easter Seal</w:t>
      </w:r>
      <w:r w:rsidR="00463D8C">
        <w:rPr>
          <w:rFonts w:ascii="Times New Roman" w:hAnsi="Times New Roman" w:cs="Times New Roman"/>
          <w:sz w:val="24"/>
          <w:szCs w:val="24"/>
        </w:rPr>
        <w:t xml:space="preserve"> court’s reasoning and </w:t>
      </w:r>
      <w:r w:rsidR="00BD6D96" w:rsidRPr="00277397">
        <w:rPr>
          <w:rFonts w:ascii="Times New Roman" w:hAnsi="Times New Roman" w:cs="Times New Roman"/>
          <w:sz w:val="24"/>
          <w:szCs w:val="24"/>
        </w:rPr>
        <w:t xml:space="preserve">supports the </w:t>
      </w:r>
      <w:r w:rsidR="00463D8C">
        <w:rPr>
          <w:rFonts w:ascii="Times New Roman" w:hAnsi="Times New Roman" w:cs="Times New Roman"/>
          <w:sz w:val="24"/>
          <w:szCs w:val="24"/>
        </w:rPr>
        <w:t>court’s stated</w:t>
      </w:r>
      <w:r w:rsidR="00BD6D96" w:rsidRPr="00277397">
        <w:rPr>
          <w:rFonts w:ascii="Times New Roman" w:hAnsi="Times New Roman" w:cs="Times New Roman"/>
          <w:sz w:val="24"/>
          <w:szCs w:val="24"/>
        </w:rPr>
        <w:t xml:space="preserve"> goal of </w:t>
      </w:r>
      <w:r w:rsidR="00962C56" w:rsidRPr="00277397">
        <w:rPr>
          <w:rFonts w:ascii="Times New Roman" w:hAnsi="Times New Roman" w:cs="Times New Roman"/>
          <w:sz w:val="24"/>
          <w:szCs w:val="24"/>
        </w:rPr>
        <w:t>predictability</w:t>
      </w:r>
      <w:r w:rsidR="00BD6D96" w:rsidRPr="00277397">
        <w:rPr>
          <w:rFonts w:ascii="Times New Roman" w:hAnsi="Times New Roman" w:cs="Times New Roman"/>
          <w:sz w:val="24"/>
          <w:szCs w:val="24"/>
        </w:rPr>
        <w:t xml:space="preserve">.  </w:t>
      </w:r>
      <w:r w:rsidR="00BD6D96" w:rsidRPr="00277397">
        <w:rPr>
          <w:rFonts w:ascii="Times New Roman" w:hAnsi="Times New Roman" w:cs="Times New Roman"/>
          <w:sz w:val="24"/>
          <w:szCs w:val="24"/>
          <w:u w:val="single"/>
        </w:rPr>
        <w:t>Id</w:t>
      </w:r>
      <w:r w:rsidR="00BD6D96" w:rsidRPr="00277397">
        <w:rPr>
          <w:rFonts w:ascii="Times New Roman" w:hAnsi="Times New Roman" w:cs="Times New Roman"/>
          <w:sz w:val="24"/>
          <w:szCs w:val="24"/>
        </w:rPr>
        <w:t xml:space="preserve">. at 335.  </w:t>
      </w:r>
      <w:r w:rsidR="00962C56" w:rsidRPr="00277397">
        <w:rPr>
          <w:rFonts w:ascii="Times New Roman" w:hAnsi="Times New Roman" w:cs="Times New Roman"/>
          <w:sz w:val="24"/>
          <w:szCs w:val="24"/>
        </w:rPr>
        <w:t xml:space="preserve">Unless Lime and OGS are required to sign a written agreement before the creation of the screenplay, the </w:t>
      </w:r>
      <w:r w:rsidR="006B1815" w:rsidRPr="00277397">
        <w:rPr>
          <w:rFonts w:ascii="Times New Roman" w:hAnsi="Times New Roman" w:cs="Times New Roman"/>
          <w:sz w:val="24"/>
          <w:szCs w:val="24"/>
        </w:rPr>
        <w:t>bright-line test and literal interpretation established in this case do not provide</w:t>
      </w:r>
      <w:r w:rsidR="00962C56" w:rsidRPr="00277397">
        <w:rPr>
          <w:rFonts w:ascii="Times New Roman" w:hAnsi="Times New Roman" w:cs="Times New Roman"/>
          <w:sz w:val="24"/>
          <w:szCs w:val="24"/>
        </w:rPr>
        <w:t xml:space="preserve"> predictability</w:t>
      </w:r>
      <w:r w:rsidR="00BD6D96" w:rsidRPr="00277397">
        <w:rPr>
          <w:rFonts w:ascii="Times New Roman" w:hAnsi="Times New Roman" w:cs="Times New Roman"/>
          <w:sz w:val="24"/>
          <w:szCs w:val="24"/>
        </w:rPr>
        <w:t xml:space="preserve">.  For </w:t>
      </w:r>
      <w:r w:rsidR="00BD6D96" w:rsidRPr="00277397">
        <w:rPr>
          <w:rFonts w:ascii="Times New Roman" w:hAnsi="Times New Roman" w:cs="Times New Roman"/>
          <w:sz w:val="24"/>
          <w:szCs w:val="24"/>
        </w:rPr>
        <w:lastRenderedPageBreak/>
        <w:t>example, under a less literal interpretation, it is unclear who would own “Anticipatory Repudiation” after Lime began creating the work but prior to the written agreement.</w:t>
      </w:r>
    </w:p>
    <w:p w14:paraId="1B4AF029" w14:textId="77777777" w:rsidR="000404A4" w:rsidRPr="00277397" w:rsidRDefault="00277397" w:rsidP="000404A4">
      <w:pPr>
        <w:pStyle w:val="NoSpacing"/>
        <w:numPr>
          <w:ilvl w:val="0"/>
          <w:numId w:val="38"/>
        </w:numPr>
        <w:jc w:val="both"/>
        <w:rPr>
          <w:rFonts w:ascii="Times New Roman" w:hAnsi="Times New Roman" w:cs="Times New Roman"/>
          <w:b/>
          <w:sz w:val="24"/>
          <w:szCs w:val="24"/>
        </w:rPr>
      </w:pPr>
      <w:r w:rsidRPr="00277397">
        <w:rPr>
          <w:rFonts w:ascii="Times New Roman" w:hAnsi="Times New Roman" w:cs="Times New Roman"/>
          <w:b/>
          <w:sz w:val="24"/>
          <w:szCs w:val="24"/>
        </w:rPr>
        <w:t>OGS and Lime’s Relations Are Insufficient to Demonstrate Consent</w:t>
      </w:r>
      <w:r w:rsidR="00463D8C">
        <w:rPr>
          <w:rFonts w:ascii="Times New Roman" w:hAnsi="Times New Roman" w:cs="Times New Roman"/>
          <w:b/>
          <w:sz w:val="24"/>
          <w:szCs w:val="24"/>
        </w:rPr>
        <w:t xml:space="preserve"> to a “Made for Hire” Relationship</w:t>
      </w:r>
      <w:r w:rsidRPr="00277397">
        <w:rPr>
          <w:rFonts w:ascii="Times New Roman" w:hAnsi="Times New Roman" w:cs="Times New Roman"/>
          <w:b/>
          <w:sz w:val="24"/>
          <w:szCs w:val="24"/>
        </w:rPr>
        <w:t>.</w:t>
      </w:r>
    </w:p>
    <w:p w14:paraId="24EC1C7E" w14:textId="77777777" w:rsidR="000404A4" w:rsidRPr="00277397" w:rsidRDefault="000404A4" w:rsidP="000404A4">
      <w:pPr>
        <w:pStyle w:val="NoSpacing"/>
        <w:ind w:left="1080"/>
        <w:jc w:val="both"/>
        <w:rPr>
          <w:rFonts w:ascii="Times New Roman" w:hAnsi="Times New Roman" w:cs="Times New Roman"/>
          <w:b/>
          <w:sz w:val="24"/>
          <w:szCs w:val="24"/>
        </w:rPr>
      </w:pPr>
    </w:p>
    <w:bookmarkEnd w:id="65"/>
    <w:p w14:paraId="110DC376" w14:textId="77777777" w:rsidR="005F3A47" w:rsidRPr="00277397" w:rsidRDefault="003A3F4F" w:rsidP="00C47658">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 xml:space="preserve">Even </w:t>
      </w:r>
      <w:r w:rsidR="0045331D" w:rsidRPr="00277397">
        <w:rPr>
          <w:rFonts w:ascii="Times New Roman" w:hAnsi="Times New Roman" w:cs="Times New Roman"/>
          <w:sz w:val="24"/>
          <w:szCs w:val="24"/>
        </w:rPr>
        <w:t xml:space="preserve">seemingly unfavorable cases </w:t>
      </w:r>
      <w:r w:rsidRPr="00277397">
        <w:rPr>
          <w:rFonts w:ascii="Times New Roman" w:hAnsi="Times New Roman" w:cs="Times New Roman"/>
          <w:sz w:val="24"/>
          <w:szCs w:val="24"/>
        </w:rPr>
        <w:t xml:space="preserve">do not provide reasoning that would rule against Lime by allowing the post-creation written agreement to stand.  </w:t>
      </w:r>
      <w:r w:rsidR="002D1831" w:rsidRPr="00277397">
        <w:rPr>
          <w:rFonts w:ascii="Times New Roman" w:hAnsi="Times New Roman" w:cs="Times New Roman"/>
          <w:sz w:val="24"/>
          <w:szCs w:val="24"/>
        </w:rPr>
        <w:t>The United States Court of Appeals for the Second Circuit</w:t>
      </w:r>
      <w:r w:rsidR="005F3A47" w:rsidRPr="00277397">
        <w:rPr>
          <w:rFonts w:ascii="Times New Roman" w:hAnsi="Times New Roman" w:cs="Times New Roman"/>
          <w:sz w:val="24"/>
          <w:szCs w:val="24"/>
        </w:rPr>
        <w:t xml:space="preserve"> discussed an </w:t>
      </w:r>
      <w:r w:rsidR="002D1831" w:rsidRPr="00277397">
        <w:rPr>
          <w:rFonts w:ascii="Times New Roman" w:hAnsi="Times New Roman" w:cs="Times New Roman"/>
          <w:sz w:val="24"/>
          <w:szCs w:val="24"/>
        </w:rPr>
        <w:t>exception to the</w:t>
      </w:r>
      <w:r w:rsidR="00096012" w:rsidRPr="00277397">
        <w:rPr>
          <w:rFonts w:ascii="Times New Roman" w:hAnsi="Times New Roman" w:cs="Times New Roman"/>
          <w:sz w:val="24"/>
          <w:szCs w:val="24"/>
        </w:rPr>
        <w:t xml:space="preserve"> Seventh Circuit</w:t>
      </w:r>
      <w:r w:rsidR="002D1831" w:rsidRPr="00277397">
        <w:rPr>
          <w:rFonts w:ascii="Times New Roman" w:hAnsi="Times New Roman" w:cs="Times New Roman"/>
          <w:sz w:val="24"/>
          <w:szCs w:val="24"/>
        </w:rPr>
        <w:t xml:space="preserve"> rule that the Copyright Act requires </w:t>
      </w:r>
      <w:r w:rsidR="00096012" w:rsidRPr="00277397">
        <w:rPr>
          <w:rFonts w:ascii="Times New Roman" w:hAnsi="Times New Roman" w:cs="Times New Roman"/>
          <w:sz w:val="24"/>
          <w:szCs w:val="24"/>
        </w:rPr>
        <w:t>“that a written agreement precede the creation of the work.”</w:t>
      </w:r>
      <w:r w:rsidR="002D1831" w:rsidRPr="00277397">
        <w:rPr>
          <w:rFonts w:ascii="Times New Roman" w:hAnsi="Times New Roman" w:cs="Times New Roman"/>
          <w:sz w:val="24"/>
          <w:szCs w:val="24"/>
        </w:rPr>
        <w:t xml:space="preserve">  </w:t>
      </w:r>
      <w:bookmarkStart w:id="69" w:name="Psych_Cite_479"/>
      <w:r w:rsidR="002D1831" w:rsidRPr="00277397">
        <w:rPr>
          <w:rFonts w:ascii="Times New Roman" w:hAnsi="Times New Roman" w:cs="Times New Roman"/>
          <w:sz w:val="24"/>
          <w:szCs w:val="24"/>
          <w:u w:val="single"/>
        </w:rPr>
        <w:t>Playboy Enters. v. Dumas</w:t>
      </w:r>
      <w:r w:rsidR="002D1831" w:rsidRPr="00277397">
        <w:rPr>
          <w:rFonts w:ascii="Times New Roman" w:hAnsi="Times New Roman" w:cs="Times New Roman"/>
          <w:sz w:val="24"/>
          <w:szCs w:val="24"/>
        </w:rPr>
        <w:t>, 53 F.3d 549, 55</w:t>
      </w:r>
      <w:r w:rsidR="00096012" w:rsidRPr="00277397">
        <w:rPr>
          <w:rFonts w:ascii="Times New Roman" w:hAnsi="Times New Roman" w:cs="Times New Roman"/>
          <w:sz w:val="24"/>
          <w:szCs w:val="24"/>
        </w:rPr>
        <w:t>8</w:t>
      </w:r>
      <w:r w:rsidR="002D1831" w:rsidRPr="00277397">
        <w:rPr>
          <w:rFonts w:ascii="Times New Roman" w:hAnsi="Times New Roman" w:cs="Times New Roman"/>
          <w:sz w:val="24"/>
          <w:szCs w:val="24"/>
        </w:rPr>
        <w:t xml:space="preserve"> (1998)</w:t>
      </w:r>
      <w:bookmarkEnd w:id="69"/>
      <w:r w:rsidR="002D1831" w:rsidRPr="00277397">
        <w:rPr>
          <w:rFonts w:ascii="Times New Roman" w:hAnsi="Times New Roman" w:cs="Times New Roman"/>
          <w:sz w:val="24"/>
          <w:szCs w:val="24"/>
        </w:rPr>
        <w:t>.</w:t>
      </w:r>
      <w:r w:rsidR="00096012" w:rsidRPr="00277397">
        <w:rPr>
          <w:rFonts w:ascii="Times New Roman" w:hAnsi="Times New Roman" w:cs="Times New Roman"/>
          <w:sz w:val="24"/>
          <w:szCs w:val="24"/>
        </w:rPr>
        <w:t xml:space="preserve">  The </w:t>
      </w:r>
      <w:r w:rsidR="00096012" w:rsidRPr="00277397">
        <w:rPr>
          <w:rFonts w:ascii="Times New Roman" w:hAnsi="Times New Roman" w:cs="Times New Roman"/>
          <w:sz w:val="24"/>
          <w:szCs w:val="24"/>
          <w:u w:val="single"/>
        </w:rPr>
        <w:t>Playboy</w:t>
      </w:r>
      <w:r w:rsidR="00624F95">
        <w:rPr>
          <w:rFonts w:ascii="Times New Roman" w:hAnsi="Times New Roman" w:cs="Times New Roman"/>
          <w:sz w:val="24"/>
          <w:szCs w:val="24"/>
        </w:rPr>
        <w:t xml:space="preserve"> c</w:t>
      </w:r>
      <w:r w:rsidR="00096012" w:rsidRPr="00277397">
        <w:rPr>
          <w:rFonts w:ascii="Times New Roman" w:hAnsi="Times New Roman" w:cs="Times New Roman"/>
          <w:sz w:val="24"/>
          <w:szCs w:val="24"/>
        </w:rPr>
        <w:t xml:space="preserve">ourt agrees with the Seventh Circuit </w:t>
      </w:r>
      <w:r w:rsidR="002B10B9" w:rsidRPr="00277397">
        <w:rPr>
          <w:rFonts w:ascii="Times New Roman" w:hAnsi="Times New Roman" w:cs="Times New Roman"/>
          <w:sz w:val="24"/>
          <w:szCs w:val="24"/>
        </w:rPr>
        <w:t xml:space="preserve">and Supreme Court in that </w:t>
      </w:r>
      <w:r w:rsidR="00096012" w:rsidRPr="00277397">
        <w:rPr>
          <w:rFonts w:ascii="Times New Roman" w:hAnsi="Times New Roman" w:cs="Times New Roman"/>
          <w:sz w:val="24"/>
          <w:szCs w:val="24"/>
        </w:rPr>
        <w:t xml:space="preserve">the </w:t>
      </w:r>
      <w:r w:rsidR="002B10B9" w:rsidRPr="00277397">
        <w:rPr>
          <w:rFonts w:ascii="Times New Roman" w:hAnsi="Times New Roman" w:cs="Times New Roman"/>
          <w:sz w:val="24"/>
          <w:szCs w:val="24"/>
        </w:rPr>
        <w:t xml:space="preserve">purpose of the </w:t>
      </w:r>
      <w:r w:rsidR="00096012" w:rsidRPr="00277397">
        <w:rPr>
          <w:rFonts w:ascii="Times New Roman" w:hAnsi="Times New Roman" w:cs="Times New Roman"/>
          <w:sz w:val="24"/>
          <w:szCs w:val="24"/>
        </w:rPr>
        <w:t xml:space="preserve">writing requirement </w:t>
      </w:r>
      <w:r w:rsidR="002B10B9" w:rsidRPr="00277397">
        <w:rPr>
          <w:rFonts w:ascii="Times New Roman" w:hAnsi="Times New Roman" w:cs="Times New Roman"/>
          <w:sz w:val="24"/>
          <w:szCs w:val="24"/>
        </w:rPr>
        <w:t>is “to</w:t>
      </w:r>
      <w:r w:rsidR="00096012" w:rsidRPr="00277397">
        <w:rPr>
          <w:rFonts w:ascii="Times New Roman" w:hAnsi="Times New Roman" w:cs="Times New Roman"/>
          <w:sz w:val="24"/>
          <w:szCs w:val="24"/>
        </w:rPr>
        <w:t xml:space="preserve"> make the ownership of intellectual pro</w:t>
      </w:r>
      <w:r w:rsidR="002B10B9" w:rsidRPr="00277397">
        <w:rPr>
          <w:rFonts w:ascii="Times New Roman" w:hAnsi="Times New Roman" w:cs="Times New Roman"/>
          <w:sz w:val="24"/>
          <w:szCs w:val="24"/>
        </w:rPr>
        <w:t>perty rights clear and definite</w:t>
      </w:r>
      <w:r w:rsidR="00096012" w:rsidRPr="00277397">
        <w:rPr>
          <w:rFonts w:ascii="Times New Roman" w:hAnsi="Times New Roman" w:cs="Times New Roman"/>
          <w:sz w:val="24"/>
          <w:szCs w:val="24"/>
        </w:rPr>
        <w:t>”</w:t>
      </w:r>
      <w:r w:rsidR="002B10B9" w:rsidRPr="00277397">
        <w:rPr>
          <w:rFonts w:ascii="Times New Roman" w:hAnsi="Times New Roman" w:cs="Times New Roman"/>
          <w:sz w:val="24"/>
          <w:szCs w:val="24"/>
        </w:rPr>
        <w:t xml:space="preserve"> and “ensure predictability through advance planning.” </w:t>
      </w:r>
      <w:r w:rsidR="00962C56" w:rsidRPr="00277397">
        <w:rPr>
          <w:rFonts w:ascii="Times New Roman" w:hAnsi="Times New Roman" w:cs="Times New Roman"/>
          <w:sz w:val="24"/>
          <w:szCs w:val="24"/>
        </w:rPr>
        <w:t xml:space="preserve"> </w:t>
      </w:r>
      <w:bookmarkStart w:id="70" w:name="Psych_Cite_480"/>
      <w:r w:rsidR="00962C56" w:rsidRPr="00277397">
        <w:rPr>
          <w:rFonts w:ascii="Times New Roman" w:hAnsi="Times New Roman" w:cs="Times New Roman"/>
          <w:sz w:val="24"/>
          <w:szCs w:val="24"/>
          <w:u w:val="single"/>
        </w:rPr>
        <w:t>Playboy Enters.</w:t>
      </w:r>
      <w:r w:rsidR="00962C56" w:rsidRPr="00277397">
        <w:rPr>
          <w:rFonts w:ascii="Times New Roman" w:hAnsi="Times New Roman" w:cs="Times New Roman"/>
          <w:sz w:val="24"/>
          <w:szCs w:val="24"/>
        </w:rPr>
        <w:t>, 53 F.3d, 559</w:t>
      </w:r>
      <w:bookmarkEnd w:id="70"/>
      <w:r w:rsidR="00962C56" w:rsidRPr="00277397">
        <w:rPr>
          <w:rFonts w:ascii="Times New Roman" w:hAnsi="Times New Roman" w:cs="Times New Roman"/>
          <w:sz w:val="24"/>
          <w:szCs w:val="24"/>
        </w:rPr>
        <w:t xml:space="preserve">.  </w:t>
      </w:r>
      <w:r w:rsidR="002B10B9" w:rsidRPr="00277397">
        <w:rPr>
          <w:rFonts w:ascii="Times New Roman" w:hAnsi="Times New Roman" w:cs="Times New Roman"/>
          <w:sz w:val="24"/>
          <w:szCs w:val="24"/>
          <w:u w:val="single"/>
        </w:rPr>
        <w:t>Playboy</w:t>
      </w:r>
      <w:r w:rsidR="002B10B9" w:rsidRPr="00277397">
        <w:rPr>
          <w:rFonts w:ascii="Times New Roman" w:hAnsi="Times New Roman" w:cs="Times New Roman"/>
          <w:sz w:val="24"/>
          <w:szCs w:val="24"/>
        </w:rPr>
        <w:t xml:space="preserve"> held that the writing requirement of </w:t>
      </w:r>
      <w:bookmarkStart w:id="71" w:name="CITRUS_BOOKMARK1000000154"/>
      <w:r w:rsidR="00962C56" w:rsidRPr="00285AE2">
        <w:rPr>
          <w:rFonts w:ascii="Times New Roman" w:hAnsi="Times New Roman" w:cs="Times New Roman"/>
          <w:sz w:val="24"/>
          <w:szCs w:val="24"/>
        </w:rPr>
        <w:t>17 U.S.C</w:t>
      </w:r>
      <w:r w:rsidR="00285AE2" w:rsidRPr="00285AE2">
        <w:rPr>
          <w:rFonts w:ascii="Times New Roman" w:hAnsi="Times New Roman" w:cs="Times New Roman"/>
          <w:sz w:val="24"/>
          <w:szCs w:val="24"/>
        </w:rPr>
        <w:t>.</w:t>
      </w:r>
      <w:r w:rsidR="00962C56" w:rsidRPr="00285AE2">
        <w:rPr>
          <w:rFonts w:ascii="Times New Roman" w:hAnsi="Times New Roman" w:cs="Times New Roman"/>
          <w:sz w:val="24"/>
          <w:szCs w:val="24"/>
        </w:rPr>
        <w:t xml:space="preserve"> § 101(2)</w:t>
      </w:r>
      <w:bookmarkEnd w:id="71"/>
      <w:r w:rsidR="00962C56" w:rsidRPr="00277397">
        <w:rPr>
          <w:rFonts w:ascii="Times New Roman" w:hAnsi="Times New Roman" w:cs="Times New Roman"/>
          <w:sz w:val="24"/>
          <w:szCs w:val="24"/>
        </w:rPr>
        <w:t xml:space="preserve"> </w:t>
      </w:r>
      <w:r w:rsidR="002B10B9" w:rsidRPr="00277397">
        <w:rPr>
          <w:rFonts w:ascii="Times New Roman" w:hAnsi="Times New Roman" w:cs="Times New Roman"/>
          <w:sz w:val="24"/>
          <w:szCs w:val="24"/>
        </w:rPr>
        <w:t>“can be met by a writing executed after the work is created, if the writing confirms a pri</w:t>
      </w:r>
      <w:r w:rsidR="00C47658" w:rsidRPr="00277397">
        <w:rPr>
          <w:rFonts w:ascii="Times New Roman" w:hAnsi="Times New Roman" w:cs="Times New Roman"/>
          <w:sz w:val="24"/>
          <w:szCs w:val="24"/>
        </w:rPr>
        <w:t>or agreement, either explicit or</w:t>
      </w:r>
      <w:r w:rsidR="002B10B9" w:rsidRPr="00277397">
        <w:rPr>
          <w:rFonts w:ascii="Times New Roman" w:hAnsi="Times New Roman" w:cs="Times New Roman"/>
          <w:sz w:val="24"/>
          <w:szCs w:val="24"/>
        </w:rPr>
        <w:t xml:space="preserve"> implicit, made before the creation of that work.” </w:t>
      </w:r>
      <w:bookmarkStart w:id="72" w:name="Psych_Cite_564"/>
      <w:r w:rsidR="002B10B9" w:rsidRPr="00277397">
        <w:rPr>
          <w:rFonts w:ascii="Times New Roman" w:hAnsi="Times New Roman" w:cs="Times New Roman"/>
          <w:sz w:val="24"/>
          <w:szCs w:val="24"/>
          <w:u w:val="single"/>
        </w:rPr>
        <w:t>Id</w:t>
      </w:r>
      <w:r w:rsidR="002B10B9" w:rsidRPr="00277397">
        <w:rPr>
          <w:rFonts w:ascii="Times New Roman" w:hAnsi="Times New Roman" w:cs="Times New Roman"/>
          <w:sz w:val="24"/>
          <w:szCs w:val="24"/>
        </w:rPr>
        <w:t>. at 559</w:t>
      </w:r>
      <w:bookmarkEnd w:id="72"/>
      <w:r w:rsidR="002B10B9" w:rsidRPr="00277397">
        <w:rPr>
          <w:rFonts w:ascii="Times New Roman" w:hAnsi="Times New Roman" w:cs="Times New Roman"/>
          <w:sz w:val="24"/>
          <w:szCs w:val="24"/>
        </w:rPr>
        <w:t>.</w:t>
      </w:r>
      <w:r w:rsidR="00277397" w:rsidRPr="00277397">
        <w:rPr>
          <w:rFonts w:ascii="Times New Roman" w:hAnsi="Times New Roman" w:cs="Times New Roman"/>
          <w:sz w:val="24"/>
          <w:szCs w:val="24"/>
        </w:rPr>
        <w:t xml:space="preserve"> </w:t>
      </w:r>
      <w:r w:rsidR="00C47658" w:rsidRPr="00277397">
        <w:rPr>
          <w:rFonts w:ascii="Times New Roman" w:hAnsi="Times New Roman" w:cs="Times New Roman"/>
          <w:sz w:val="24"/>
          <w:szCs w:val="24"/>
        </w:rPr>
        <w:t xml:space="preserve">  </w:t>
      </w:r>
    </w:p>
    <w:p w14:paraId="5810521B" w14:textId="77777777" w:rsidR="00FA7BC6" w:rsidRPr="00277397" w:rsidRDefault="005F3A47" w:rsidP="00FA7BC6">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The facts in</w:t>
      </w:r>
      <w:r w:rsidR="003415FF" w:rsidRPr="00277397">
        <w:rPr>
          <w:rFonts w:ascii="Times New Roman" w:hAnsi="Times New Roman" w:cs="Times New Roman"/>
          <w:sz w:val="24"/>
          <w:szCs w:val="24"/>
        </w:rPr>
        <w:t xml:space="preserve"> </w:t>
      </w:r>
      <w:r w:rsidR="003415FF" w:rsidRPr="00277397">
        <w:rPr>
          <w:rFonts w:ascii="Times New Roman" w:hAnsi="Times New Roman" w:cs="Times New Roman"/>
          <w:sz w:val="24"/>
          <w:szCs w:val="24"/>
          <w:u w:val="single"/>
        </w:rPr>
        <w:t>Playboy</w:t>
      </w:r>
      <w:r w:rsidR="003415FF" w:rsidRPr="00277397">
        <w:rPr>
          <w:rFonts w:ascii="Times New Roman" w:hAnsi="Times New Roman" w:cs="Times New Roman"/>
          <w:sz w:val="24"/>
          <w:szCs w:val="24"/>
        </w:rPr>
        <w:t xml:space="preserve"> </w:t>
      </w:r>
      <w:r w:rsidR="00585208">
        <w:rPr>
          <w:rFonts w:ascii="Times New Roman" w:hAnsi="Times New Roman" w:cs="Times New Roman"/>
          <w:sz w:val="24"/>
          <w:szCs w:val="24"/>
        </w:rPr>
        <w:t xml:space="preserve">that produced the exception </w:t>
      </w:r>
      <w:r w:rsidR="003415FF" w:rsidRPr="00277397">
        <w:rPr>
          <w:rFonts w:ascii="Times New Roman" w:hAnsi="Times New Roman" w:cs="Times New Roman"/>
          <w:sz w:val="24"/>
          <w:szCs w:val="24"/>
        </w:rPr>
        <w:t xml:space="preserve">are markedly different from the instance case.  In </w:t>
      </w:r>
      <w:r w:rsidR="003415FF" w:rsidRPr="00277397">
        <w:rPr>
          <w:rFonts w:ascii="Times New Roman" w:hAnsi="Times New Roman" w:cs="Times New Roman"/>
          <w:sz w:val="24"/>
          <w:szCs w:val="24"/>
          <w:u w:val="single"/>
        </w:rPr>
        <w:t>Playboy</w:t>
      </w:r>
      <w:r w:rsidR="003415FF" w:rsidRPr="00277397">
        <w:rPr>
          <w:rFonts w:ascii="Times New Roman" w:hAnsi="Times New Roman" w:cs="Times New Roman"/>
          <w:sz w:val="24"/>
          <w:szCs w:val="24"/>
        </w:rPr>
        <w:t xml:space="preserve">, freelance artist Patrick Nagel (Nagel) produced approximately 285 pieces of artwork published in </w:t>
      </w:r>
      <w:r w:rsidR="003415FF" w:rsidRPr="00277397">
        <w:rPr>
          <w:rFonts w:ascii="Times New Roman" w:hAnsi="Times New Roman" w:cs="Times New Roman"/>
          <w:i/>
          <w:sz w:val="24"/>
          <w:szCs w:val="24"/>
        </w:rPr>
        <w:t xml:space="preserve">Playboy </w:t>
      </w:r>
      <w:r w:rsidR="003415FF" w:rsidRPr="00277397">
        <w:rPr>
          <w:rFonts w:ascii="Times New Roman" w:hAnsi="Times New Roman" w:cs="Times New Roman"/>
          <w:sz w:val="24"/>
          <w:szCs w:val="24"/>
        </w:rPr>
        <w:t xml:space="preserve">magazine over a ten year period.  </w:t>
      </w:r>
      <w:bookmarkStart w:id="73" w:name="Psych_Cite_575"/>
      <w:r w:rsidR="003415FF" w:rsidRPr="00277397">
        <w:rPr>
          <w:rFonts w:ascii="Times New Roman" w:hAnsi="Times New Roman" w:cs="Times New Roman"/>
          <w:sz w:val="24"/>
          <w:szCs w:val="24"/>
          <w:u w:val="single"/>
        </w:rPr>
        <w:t>Id</w:t>
      </w:r>
      <w:r w:rsidR="00962C56" w:rsidRPr="00277397">
        <w:rPr>
          <w:rFonts w:ascii="Times New Roman" w:hAnsi="Times New Roman" w:cs="Times New Roman"/>
          <w:sz w:val="24"/>
          <w:szCs w:val="24"/>
        </w:rPr>
        <w:t>.</w:t>
      </w:r>
      <w:r w:rsidR="003415FF" w:rsidRPr="00277397">
        <w:rPr>
          <w:rFonts w:ascii="Times New Roman" w:hAnsi="Times New Roman" w:cs="Times New Roman"/>
          <w:sz w:val="24"/>
          <w:szCs w:val="24"/>
        </w:rPr>
        <w:t xml:space="preserve"> at 552</w:t>
      </w:r>
      <w:bookmarkEnd w:id="73"/>
      <w:r w:rsidR="003415FF" w:rsidRPr="00277397">
        <w:rPr>
          <w:rFonts w:ascii="Times New Roman" w:hAnsi="Times New Roman" w:cs="Times New Roman"/>
          <w:sz w:val="24"/>
          <w:szCs w:val="24"/>
        </w:rPr>
        <w:t>.  Playboy paid Nagel for the publis</w:t>
      </w:r>
      <w:r w:rsidR="00962C56" w:rsidRPr="00277397">
        <w:rPr>
          <w:rFonts w:ascii="Times New Roman" w:hAnsi="Times New Roman" w:cs="Times New Roman"/>
          <w:sz w:val="24"/>
          <w:szCs w:val="24"/>
        </w:rPr>
        <w:t xml:space="preserve">hed work with checks </w:t>
      </w:r>
      <w:r w:rsidR="003415FF" w:rsidRPr="00277397">
        <w:rPr>
          <w:rFonts w:ascii="Times New Roman" w:hAnsi="Times New Roman" w:cs="Times New Roman"/>
          <w:sz w:val="24"/>
          <w:szCs w:val="24"/>
        </w:rPr>
        <w:t xml:space="preserve">stamped with a legend endorsement.  </w:t>
      </w:r>
      <w:bookmarkStart w:id="74" w:name="Psych_Cite_576"/>
      <w:r w:rsidR="003415FF" w:rsidRPr="00277397">
        <w:rPr>
          <w:rFonts w:ascii="Times New Roman" w:hAnsi="Times New Roman" w:cs="Times New Roman"/>
          <w:sz w:val="24"/>
          <w:szCs w:val="24"/>
          <w:u w:val="single"/>
        </w:rPr>
        <w:t>Id</w:t>
      </w:r>
      <w:r w:rsidR="003415FF" w:rsidRPr="00277397">
        <w:rPr>
          <w:rFonts w:ascii="Times New Roman" w:hAnsi="Times New Roman" w:cs="Times New Roman"/>
          <w:sz w:val="24"/>
          <w:szCs w:val="24"/>
        </w:rPr>
        <w:t xml:space="preserve">.  </w:t>
      </w:r>
      <w:bookmarkEnd w:id="74"/>
      <w:r w:rsidR="003415FF" w:rsidRPr="00277397">
        <w:rPr>
          <w:rFonts w:ascii="Times New Roman" w:hAnsi="Times New Roman" w:cs="Times New Roman"/>
          <w:sz w:val="24"/>
          <w:szCs w:val="24"/>
        </w:rPr>
        <w:t xml:space="preserve">The legend changed in wording over the years, but </w:t>
      </w:r>
      <w:r w:rsidR="00764D98" w:rsidRPr="00277397">
        <w:rPr>
          <w:rFonts w:ascii="Times New Roman" w:hAnsi="Times New Roman" w:cs="Times New Roman"/>
          <w:sz w:val="24"/>
          <w:szCs w:val="24"/>
        </w:rPr>
        <w:t xml:space="preserve">either explicitly mentioned “made for hire” or stated that Playboy owned the artwork.  </w:t>
      </w:r>
      <w:bookmarkStart w:id="75" w:name="Psych_Cite_577"/>
      <w:r w:rsidR="00764D98" w:rsidRPr="00277397">
        <w:rPr>
          <w:rFonts w:ascii="Times New Roman" w:hAnsi="Times New Roman" w:cs="Times New Roman"/>
          <w:sz w:val="24"/>
          <w:szCs w:val="24"/>
          <w:u w:val="single"/>
        </w:rPr>
        <w:t>Id</w:t>
      </w:r>
      <w:r w:rsidR="00764D98" w:rsidRPr="00277397">
        <w:rPr>
          <w:rFonts w:ascii="Times New Roman" w:hAnsi="Times New Roman" w:cs="Times New Roman"/>
          <w:sz w:val="24"/>
          <w:szCs w:val="24"/>
        </w:rPr>
        <w:t xml:space="preserve">.  </w:t>
      </w:r>
      <w:bookmarkEnd w:id="75"/>
      <w:r w:rsidR="00764D98" w:rsidRPr="00277397">
        <w:rPr>
          <w:rFonts w:ascii="Times New Roman" w:hAnsi="Times New Roman" w:cs="Times New Roman"/>
          <w:sz w:val="24"/>
          <w:szCs w:val="24"/>
        </w:rPr>
        <w:t xml:space="preserve">When Nagel died in 1984, his widow granted reproduction rights to third parties.  </w:t>
      </w:r>
      <w:bookmarkStart w:id="76" w:name="Psych_Cite_578"/>
      <w:r w:rsidR="00764D98" w:rsidRPr="00277397">
        <w:rPr>
          <w:rFonts w:ascii="Times New Roman" w:hAnsi="Times New Roman" w:cs="Times New Roman"/>
          <w:sz w:val="24"/>
          <w:szCs w:val="24"/>
          <w:u w:val="single"/>
        </w:rPr>
        <w:t>Id</w:t>
      </w:r>
      <w:r w:rsidR="00764D98" w:rsidRPr="00277397">
        <w:rPr>
          <w:rFonts w:ascii="Times New Roman" w:hAnsi="Times New Roman" w:cs="Times New Roman"/>
          <w:sz w:val="24"/>
          <w:szCs w:val="24"/>
        </w:rPr>
        <w:t>. at 553</w:t>
      </w:r>
      <w:bookmarkEnd w:id="76"/>
      <w:r w:rsidR="00764D98" w:rsidRPr="00277397">
        <w:rPr>
          <w:rFonts w:ascii="Times New Roman" w:hAnsi="Times New Roman" w:cs="Times New Roman"/>
          <w:sz w:val="24"/>
          <w:szCs w:val="24"/>
        </w:rPr>
        <w:t xml:space="preserve">.  In response, Playboy sought declaratory judgment that it was the sole owner of all copyrights in the artwork </w:t>
      </w:r>
      <w:r w:rsidR="00962C56" w:rsidRPr="00277397">
        <w:rPr>
          <w:rFonts w:ascii="Times New Roman" w:hAnsi="Times New Roman" w:cs="Times New Roman"/>
          <w:sz w:val="24"/>
          <w:szCs w:val="24"/>
        </w:rPr>
        <w:t>that</w:t>
      </w:r>
      <w:r w:rsidR="00764D98" w:rsidRPr="00277397">
        <w:rPr>
          <w:rFonts w:ascii="Times New Roman" w:hAnsi="Times New Roman" w:cs="Times New Roman"/>
          <w:sz w:val="24"/>
          <w:szCs w:val="24"/>
        </w:rPr>
        <w:t xml:space="preserve"> had appeared in the </w:t>
      </w:r>
      <w:r w:rsidR="00764D98" w:rsidRPr="00277397">
        <w:rPr>
          <w:rFonts w:ascii="Times New Roman" w:hAnsi="Times New Roman" w:cs="Times New Roman"/>
          <w:i/>
          <w:sz w:val="24"/>
          <w:szCs w:val="24"/>
        </w:rPr>
        <w:t>Playboy</w:t>
      </w:r>
      <w:r w:rsidR="00764D98" w:rsidRPr="00277397">
        <w:rPr>
          <w:rFonts w:ascii="Times New Roman" w:hAnsi="Times New Roman" w:cs="Times New Roman"/>
          <w:sz w:val="24"/>
          <w:szCs w:val="24"/>
        </w:rPr>
        <w:t xml:space="preserve"> magazine.  </w:t>
      </w:r>
      <w:bookmarkStart w:id="77" w:name="Psych_Cite_579"/>
      <w:r w:rsidR="00764D98" w:rsidRPr="00277397">
        <w:rPr>
          <w:rFonts w:ascii="Times New Roman" w:hAnsi="Times New Roman" w:cs="Times New Roman"/>
          <w:sz w:val="24"/>
          <w:szCs w:val="24"/>
          <w:u w:val="single"/>
        </w:rPr>
        <w:t>Id</w:t>
      </w:r>
      <w:r w:rsidR="00764D98" w:rsidRPr="00277397">
        <w:rPr>
          <w:rFonts w:ascii="Times New Roman" w:hAnsi="Times New Roman" w:cs="Times New Roman"/>
          <w:sz w:val="24"/>
          <w:szCs w:val="24"/>
        </w:rPr>
        <w:t xml:space="preserve">.  </w:t>
      </w:r>
      <w:bookmarkEnd w:id="77"/>
      <w:r w:rsidR="00764D98" w:rsidRPr="00277397">
        <w:rPr>
          <w:rFonts w:ascii="Times New Roman" w:hAnsi="Times New Roman" w:cs="Times New Roman"/>
          <w:sz w:val="24"/>
          <w:szCs w:val="24"/>
        </w:rPr>
        <w:t xml:space="preserve">The </w:t>
      </w:r>
      <w:r w:rsidR="00764D98" w:rsidRPr="00277397">
        <w:rPr>
          <w:rFonts w:ascii="Times New Roman" w:hAnsi="Times New Roman" w:cs="Times New Roman"/>
          <w:sz w:val="24"/>
          <w:szCs w:val="24"/>
          <w:u w:val="single"/>
        </w:rPr>
        <w:t>Playboy</w:t>
      </w:r>
      <w:r w:rsidR="00764D98" w:rsidRPr="00585208">
        <w:rPr>
          <w:rFonts w:ascii="Times New Roman" w:hAnsi="Times New Roman" w:cs="Times New Roman"/>
          <w:sz w:val="24"/>
          <w:szCs w:val="24"/>
        </w:rPr>
        <w:t xml:space="preserve"> court</w:t>
      </w:r>
      <w:r w:rsidR="00F549EC">
        <w:rPr>
          <w:rFonts w:ascii="Times New Roman" w:hAnsi="Times New Roman" w:cs="Times New Roman"/>
          <w:sz w:val="24"/>
          <w:szCs w:val="24"/>
        </w:rPr>
        <w:t xml:space="preserve"> ruled that the only the</w:t>
      </w:r>
      <w:r w:rsidR="00962C56" w:rsidRPr="00277397">
        <w:rPr>
          <w:rFonts w:ascii="Times New Roman" w:hAnsi="Times New Roman" w:cs="Times New Roman"/>
          <w:sz w:val="24"/>
          <w:szCs w:val="24"/>
        </w:rPr>
        <w:t xml:space="preserve"> </w:t>
      </w:r>
      <w:r w:rsidR="009763D7" w:rsidRPr="00277397">
        <w:rPr>
          <w:rFonts w:ascii="Times New Roman" w:hAnsi="Times New Roman" w:cs="Times New Roman"/>
          <w:sz w:val="24"/>
          <w:szCs w:val="24"/>
        </w:rPr>
        <w:t xml:space="preserve">legends specifically </w:t>
      </w:r>
      <w:r w:rsidR="00F549EC">
        <w:rPr>
          <w:rFonts w:ascii="Times New Roman" w:hAnsi="Times New Roman" w:cs="Times New Roman"/>
          <w:sz w:val="24"/>
          <w:szCs w:val="24"/>
        </w:rPr>
        <w:t>stating</w:t>
      </w:r>
      <w:r w:rsidR="009763D7" w:rsidRPr="00277397">
        <w:rPr>
          <w:rFonts w:ascii="Times New Roman" w:hAnsi="Times New Roman" w:cs="Times New Roman"/>
          <w:sz w:val="24"/>
          <w:szCs w:val="24"/>
        </w:rPr>
        <w:t xml:space="preserve"> the relationship was “made for hire” were sufficient due to </w:t>
      </w:r>
      <w:r w:rsidR="00764D98" w:rsidRPr="00277397">
        <w:rPr>
          <w:rFonts w:ascii="Times New Roman" w:hAnsi="Times New Roman" w:cs="Times New Roman"/>
          <w:sz w:val="24"/>
          <w:szCs w:val="24"/>
        </w:rPr>
        <w:t>Nagel and Playboy’s continued use of the legends on the checks</w:t>
      </w:r>
      <w:r w:rsidR="00FA7BC6" w:rsidRPr="00277397">
        <w:rPr>
          <w:rFonts w:ascii="Times New Roman" w:hAnsi="Times New Roman" w:cs="Times New Roman"/>
          <w:sz w:val="24"/>
          <w:szCs w:val="24"/>
        </w:rPr>
        <w:t xml:space="preserve">, </w:t>
      </w:r>
      <w:r w:rsidR="00FA7BC6" w:rsidRPr="00277397">
        <w:rPr>
          <w:rFonts w:ascii="Times New Roman" w:hAnsi="Times New Roman" w:cs="Times New Roman"/>
          <w:sz w:val="24"/>
          <w:szCs w:val="24"/>
        </w:rPr>
        <w:lastRenderedPageBreak/>
        <w:t>beginning with the second check</w:t>
      </w:r>
      <w:r w:rsidR="009763D7" w:rsidRPr="00277397">
        <w:rPr>
          <w:rFonts w:ascii="Times New Roman" w:hAnsi="Times New Roman" w:cs="Times New Roman"/>
          <w:sz w:val="24"/>
          <w:szCs w:val="24"/>
        </w:rPr>
        <w:t xml:space="preserve">.  </w:t>
      </w:r>
      <w:bookmarkStart w:id="78" w:name="Psych_Cite_581"/>
      <w:r w:rsidR="009763D7" w:rsidRPr="00277397">
        <w:rPr>
          <w:rFonts w:ascii="Times New Roman" w:hAnsi="Times New Roman" w:cs="Times New Roman"/>
          <w:sz w:val="24"/>
          <w:szCs w:val="24"/>
          <w:u w:val="single"/>
        </w:rPr>
        <w:t>Id</w:t>
      </w:r>
      <w:r w:rsidR="009763D7" w:rsidRPr="00277397">
        <w:rPr>
          <w:rFonts w:ascii="Times New Roman" w:hAnsi="Times New Roman" w:cs="Times New Roman"/>
          <w:sz w:val="24"/>
          <w:szCs w:val="24"/>
        </w:rPr>
        <w:t>.</w:t>
      </w:r>
      <w:r w:rsidR="00F549EC">
        <w:rPr>
          <w:rFonts w:ascii="Times New Roman" w:hAnsi="Times New Roman" w:cs="Times New Roman"/>
          <w:sz w:val="24"/>
          <w:szCs w:val="24"/>
        </w:rPr>
        <w:t xml:space="preserve"> at 560.</w:t>
      </w:r>
      <w:r w:rsidR="009763D7" w:rsidRPr="00277397">
        <w:rPr>
          <w:rFonts w:ascii="Times New Roman" w:hAnsi="Times New Roman" w:cs="Times New Roman"/>
          <w:sz w:val="24"/>
          <w:szCs w:val="24"/>
        </w:rPr>
        <w:t xml:space="preserve">  </w:t>
      </w:r>
      <w:bookmarkEnd w:id="78"/>
      <w:r w:rsidR="009763D7" w:rsidRPr="00277397">
        <w:rPr>
          <w:rFonts w:ascii="Times New Roman" w:hAnsi="Times New Roman" w:cs="Times New Roman"/>
          <w:sz w:val="24"/>
          <w:szCs w:val="24"/>
        </w:rPr>
        <w:t xml:space="preserve">If Nagel endorsed the checks, he “may be assumed to have consented to a continuing practice” that the works were “made for hire.”  </w:t>
      </w:r>
      <w:bookmarkStart w:id="79" w:name="Psych_Cite_582"/>
      <w:r w:rsidR="009763D7" w:rsidRPr="00277397">
        <w:rPr>
          <w:rFonts w:ascii="Times New Roman" w:hAnsi="Times New Roman" w:cs="Times New Roman"/>
          <w:sz w:val="24"/>
          <w:szCs w:val="24"/>
        </w:rPr>
        <w:t>Id.</w:t>
      </w:r>
      <w:r w:rsidR="00FA7BC6" w:rsidRPr="00277397">
        <w:rPr>
          <w:rFonts w:ascii="Times New Roman" w:hAnsi="Times New Roman" w:cs="Times New Roman"/>
          <w:sz w:val="24"/>
          <w:szCs w:val="24"/>
        </w:rPr>
        <w:t xml:space="preserve">  </w:t>
      </w:r>
      <w:bookmarkEnd w:id="79"/>
      <w:r w:rsidR="00962C56" w:rsidRPr="00277397">
        <w:rPr>
          <w:rFonts w:ascii="Times New Roman" w:hAnsi="Times New Roman" w:cs="Times New Roman"/>
          <w:sz w:val="24"/>
          <w:szCs w:val="24"/>
        </w:rPr>
        <w:t>However, o</w:t>
      </w:r>
      <w:r w:rsidR="00FA7BC6" w:rsidRPr="00277397">
        <w:rPr>
          <w:rFonts w:ascii="Times New Roman" w:hAnsi="Times New Roman" w:cs="Times New Roman"/>
          <w:sz w:val="24"/>
          <w:szCs w:val="24"/>
        </w:rPr>
        <w:t xml:space="preserve">ne check endorsement is insufficient to constitute evidence that the parties agreed before the creation of the work that it would be made for hire.  </w:t>
      </w:r>
      <w:bookmarkStart w:id="80" w:name="Psych_Cite_583"/>
      <w:r w:rsidR="00FA7BC6" w:rsidRPr="00277397">
        <w:rPr>
          <w:rFonts w:ascii="Times New Roman" w:hAnsi="Times New Roman" w:cs="Times New Roman"/>
          <w:sz w:val="24"/>
          <w:szCs w:val="24"/>
          <w:u w:val="single"/>
        </w:rPr>
        <w:t>Id</w:t>
      </w:r>
      <w:r w:rsidR="00FA7BC6" w:rsidRPr="00277397">
        <w:rPr>
          <w:rFonts w:ascii="Times New Roman" w:hAnsi="Times New Roman" w:cs="Times New Roman"/>
          <w:sz w:val="24"/>
          <w:szCs w:val="24"/>
        </w:rPr>
        <w:t xml:space="preserve">.  </w:t>
      </w:r>
    </w:p>
    <w:bookmarkEnd w:id="80"/>
    <w:p w14:paraId="052ABBE7" w14:textId="77777777" w:rsidR="005F3A47" w:rsidRPr="00B50B6D" w:rsidRDefault="005F3A47" w:rsidP="00FA7BC6">
      <w:pPr>
        <w:pStyle w:val="NoSpacing"/>
        <w:spacing w:line="480" w:lineRule="auto"/>
        <w:ind w:firstLine="720"/>
        <w:jc w:val="both"/>
        <w:rPr>
          <w:rFonts w:ascii="Times New Roman" w:hAnsi="Times New Roman" w:cs="Times New Roman"/>
          <w:sz w:val="24"/>
          <w:szCs w:val="24"/>
          <w:u w:val="single"/>
        </w:rPr>
      </w:pPr>
      <w:r w:rsidRPr="00277397">
        <w:rPr>
          <w:rFonts w:ascii="Times New Roman" w:hAnsi="Times New Roman" w:cs="Times New Roman"/>
          <w:sz w:val="24"/>
          <w:szCs w:val="24"/>
        </w:rPr>
        <w:t xml:space="preserve">In the instant case, OGS presented no writing to Lime in any way preceding the creation of the screenplay.  The only discussion of a “made for hire” agreement preceding the creation of the screenplay occurred at the initial meeting between OGS and Lime.  At that time, Lime was given a brief moment to reply to OGS’ statement that the work is “made for hire.”  </w:t>
      </w:r>
      <w:r w:rsidR="00B50B6D">
        <w:rPr>
          <w:rFonts w:ascii="Times New Roman" w:hAnsi="Times New Roman" w:cs="Times New Roman"/>
          <w:sz w:val="24"/>
          <w:szCs w:val="24"/>
        </w:rPr>
        <w:t>While Playboy relies on Nagel’s endorsement of</w:t>
      </w:r>
      <w:r w:rsidRPr="00277397">
        <w:rPr>
          <w:rFonts w:ascii="Times New Roman" w:hAnsi="Times New Roman" w:cs="Times New Roman"/>
          <w:sz w:val="24"/>
          <w:szCs w:val="24"/>
        </w:rPr>
        <w:t xml:space="preserve"> numerous checks over ti</w:t>
      </w:r>
      <w:r w:rsidR="00F549EC">
        <w:rPr>
          <w:rFonts w:ascii="Times New Roman" w:hAnsi="Times New Roman" w:cs="Times New Roman"/>
          <w:sz w:val="24"/>
          <w:szCs w:val="24"/>
        </w:rPr>
        <w:t xml:space="preserve">me with “made for hire” writing, </w:t>
      </w:r>
      <w:r w:rsidR="00962C56" w:rsidRPr="00277397">
        <w:rPr>
          <w:rFonts w:ascii="Times New Roman" w:hAnsi="Times New Roman" w:cs="Times New Roman"/>
          <w:sz w:val="24"/>
          <w:szCs w:val="24"/>
        </w:rPr>
        <w:t xml:space="preserve">OGS relies on one </w:t>
      </w:r>
      <w:r w:rsidR="00701E30" w:rsidRPr="00277397">
        <w:rPr>
          <w:rFonts w:ascii="Times New Roman" w:hAnsi="Times New Roman" w:cs="Times New Roman"/>
          <w:sz w:val="24"/>
          <w:szCs w:val="24"/>
        </w:rPr>
        <w:t xml:space="preserve">alleged oral agreement and one </w:t>
      </w:r>
      <w:r w:rsidR="00B50B6D">
        <w:rPr>
          <w:rFonts w:ascii="Times New Roman" w:hAnsi="Times New Roman" w:cs="Times New Roman"/>
          <w:sz w:val="24"/>
          <w:szCs w:val="24"/>
        </w:rPr>
        <w:t xml:space="preserve">post-creation writing.  </w:t>
      </w:r>
      <w:r w:rsidR="00962C56" w:rsidRPr="00277397">
        <w:rPr>
          <w:rFonts w:ascii="Times New Roman" w:hAnsi="Times New Roman" w:cs="Times New Roman"/>
          <w:sz w:val="24"/>
          <w:szCs w:val="24"/>
        </w:rPr>
        <w:t xml:space="preserve">Playboy and Nagel shared numerous writings sufficient to establish a pattern of consent.  </w:t>
      </w:r>
      <w:bookmarkStart w:id="81" w:name="Psych_Cite_586"/>
      <w:r w:rsidR="00962C56" w:rsidRPr="00277397">
        <w:rPr>
          <w:rFonts w:ascii="Times New Roman" w:hAnsi="Times New Roman" w:cs="Times New Roman"/>
          <w:sz w:val="24"/>
          <w:szCs w:val="24"/>
          <w:u w:val="single"/>
        </w:rPr>
        <w:t>Id</w:t>
      </w:r>
      <w:r w:rsidR="00B50B6D">
        <w:rPr>
          <w:rFonts w:ascii="Times New Roman" w:hAnsi="Times New Roman" w:cs="Times New Roman"/>
          <w:sz w:val="24"/>
          <w:szCs w:val="24"/>
        </w:rPr>
        <w:t xml:space="preserve">.  </w:t>
      </w:r>
      <w:bookmarkEnd w:id="81"/>
      <w:r w:rsidR="00B50B6D">
        <w:rPr>
          <w:rFonts w:ascii="Times New Roman" w:hAnsi="Times New Roman" w:cs="Times New Roman"/>
          <w:sz w:val="24"/>
          <w:szCs w:val="24"/>
        </w:rPr>
        <w:t xml:space="preserve">One writing is insufficient to prove that Lime and OGS agreed </w:t>
      </w:r>
      <w:r w:rsidR="00F549EC">
        <w:rPr>
          <w:rFonts w:ascii="Times New Roman" w:hAnsi="Times New Roman" w:cs="Times New Roman"/>
          <w:sz w:val="24"/>
          <w:szCs w:val="24"/>
        </w:rPr>
        <w:t xml:space="preserve">the screenplay was “made for hire” </w:t>
      </w:r>
      <w:r w:rsidR="00B50B6D">
        <w:rPr>
          <w:rFonts w:ascii="Times New Roman" w:hAnsi="Times New Roman" w:cs="Times New Roman"/>
          <w:sz w:val="24"/>
          <w:szCs w:val="24"/>
        </w:rPr>
        <w:t xml:space="preserve">before </w:t>
      </w:r>
      <w:r w:rsidR="00F549EC">
        <w:rPr>
          <w:rFonts w:ascii="Times New Roman" w:hAnsi="Times New Roman" w:cs="Times New Roman"/>
          <w:sz w:val="24"/>
          <w:szCs w:val="24"/>
        </w:rPr>
        <w:t>its creation.</w:t>
      </w:r>
    </w:p>
    <w:p w14:paraId="53773FDE" w14:textId="77777777" w:rsidR="00C47658" w:rsidRPr="00277397" w:rsidRDefault="00C47658" w:rsidP="00C47658">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 xml:space="preserve">On remand, the United States District Court found that Playboy owned works created  before the Copyright Act of 1976 took effect, but did not own many of the works produced after the Act took effect, even though the works were made at Playboy’s instance.  </w:t>
      </w:r>
      <w:bookmarkStart w:id="82" w:name="Psych_Cite_482"/>
      <w:r w:rsidR="005F3A47" w:rsidRPr="00277397">
        <w:rPr>
          <w:rFonts w:ascii="Times New Roman" w:hAnsi="Times New Roman" w:cs="Times New Roman"/>
          <w:sz w:val="24"/>
          <w:szCs w:val="24"/>
          <w:u w:val="single"/>
        </w:rPr>
        <w:t>Playboy Enters. v. Dumas</w:t>
      </w:r>
      <w:r w:rsidR="005F3A47" w:rsidRPr="00277397">
        <w:rPr>
          <w:rFonts w:ascii="Times New Roman" w:hAnsi="Times New Roman" w:cs="Times New Roman"/>
          <w:sz w:val="24"/>
          <w:szCs w:val="24"/>
        </w:rPr>
        <w:t xml:space="preserve">, </w:t>
      </w:r>
      <w:r w:rsidRPr="00277397">
        <w:rPr>
          <w:rFonts w:ascii="Times New Roman" w:hAnsi="Times New Roman" w:cs="Times New Roman"/>
          <w:sz w:val="24"/>
          <w:szCs w:val="24"/>
        </w:rPr>
        <w:t>960 F. Supp. 710, 723</w:t>
      </w:r>
      <w:bookmarkEnd w:id="82"/>
      <w:r w:rsidRPr="00277397">
        <w:rPr>
          <w:rFonts w:ascii="Times New Roman" w:hAnsi="Times New Roman" w:cs="Times New Roman"/>
          <w:sz w:val="24"/>
          <w:szCs w:val="24"/>
        </w:rPr>
        <w:t>.</w:t>
      </w:r>
      <w:r w:rsidR="005F3A47" w:rsidRPr="00277397">
        <w:rPr>
          <w:rFonts w:ascii="Times New Roman" w:hAnsi="Times New Roman" w:cs="Times New Roman"/>
          <w:sz w:val="24"/>
          <w:szCs w:val="24"/>
        </w:rPr>
        <w:t xml:space="preserve">  </w:t>
      </w:r>
      <w:r w:rsidR="00FA7BC6" w:rsidRPr="00277397">
        <w:rPr>
          <w:rFonts w:ascii="Times New Roman" w:hAnsi="Times New Roman" w:cs="Times New Roman"/>
          <w:sz w:val="24"/>
          <w:szCs w:val="24"/>
        </w:rPr>
        <w:t>The</w:t>
      </w:r>
      <w:r w:rsidR="005F3A47" w:rsidRPr="00277397">
        <w:rPr>
          <w:rFonts w:ascii="Times New Roman" w:hAnsi="Times New Roman" w:cs="Times New Roman"/>
          <w:sz w:val="24"/>
          <w:szCs w:val="24"/>
        </w:rPr>
        <w:t xml:space="preserve"> decision in favor of </w:t>
      </w:r>
      <w:r w:rsidR="00FA7BC6" w:rsidRPr="00277397">
        <w:rPr>
          <w:rFonts w:ascii="Times New Roman" w:hAnsi="Times New Roman" w:cs="Times New Roman"/>
          <w:sz w:val="24"/>
          <w:szCs w:val="24"/>
        </w:rPr>
        <w:t xml:space="preserve">Playboy for works created before the Copyright Act of 1976 and the decision in favor of </w:t>
      </w:r>
      <w:r w:rsidR="005F3A47" w:rsidRPr="00277397">
        <w:rPr>
          <w:rFonts w:ascii="Times New Roman" w:hAnsi="Times New Roman" w:cs="Times New Roman"/>
          <w:sz w:val="24"/>
          <w:szCs w:val="24"/>
        </w:rPr>
        <w:t>Nagel, the f</w:t>
      </w:r>
      <w:r w:rsidR="00FA7BC6" w:rsidRPr="00277397">
        <w:rPr>
          <w:rFonts w:ascii="Times New Roman" w:hAnsi="Times New Roman" w:cs="Times New Roman"/>
          <w:sz w:val="24"/>
          <w:szCs w:val="24"/>
        </w:rPr>
        <w:t>ree-lance artist,</w:t>
      </w:r>
      <w:r w:rsidRPr="00277397">
        <w:rPr>
          <w:rFonts w:ascii="Times New Roman" w:hAnsi="Times New Roman" w:cs="Times New Roman"/>
          <w:sz w:val="24"/>
          <w:szCs w:val="24"/>
        </w:rPr>
        <w:t xml:space="preserve"> </w:t>
      </w:r>
      <w:r w:rsidR="00FA7BC6" w:rsidRPr="00277397">
        <w:rPr>
          <w:rFonts w:ascii="Times New Roman" w:hAnsi="Times New Roman" w:cs="Times New Roman"/>
          <w:sz w:val="24"/>
          <w:szCs w:val="24"/>
        </w:rPr>
        <w:t xml:space="preserve">for works created after the Act </w:t>
      </w:r>
      <w:r w:rsidR="005F3A47" w:rsidRPr="00277397">
        <w:rPr>
          <w:rFonts w:ascii="Times New Roman" w:hAnsi="Times New Roman" w:cs="Times New Roman"/>
          <w:sz w:val="24"/>
          <w:szCs w:val="24"/>
        </w:rPr>
        <w:t xml:space="preserve">highlights the narrowed interpretation of </w:t>
      </w:r>
      <w:r w:rsidR="00FA7BC6" w:rsidRPr="00277397">
        <w:rPr>
          <w:rFonts w:ascii="Times New Roman" w:hAnsi="Times New Roman" w:cs="Times New Roman"/>
          <w:sz w:val="24"/>
          <w:szCs w:val="24"/>
        </w:rPr>
        <w:t>commissioned</w:t>
      </w:r>
      <w:r w:rsidR="005F3A47" w:rsidRPr="00277397">
        <w:rPr>
          <w:rFonts w:ascii="Times New Roman" w:hAnsi="Times New Roman" w:cs="Times New Roman"/>
          <w:sz w:val="24"/>
          <w:szCs w:val="24"/>
        </w:rPr>
        <w:t xml:space="preserve"> “made for hire”</w:t>
      </w:r>
      <w:r w:rsidR="00B50B6D">
        <w:rPr>
          <w:rFonts w:ascii="Times New Roman" w:hAnsi="Times New Roman" w:cs="Times New Roman"/>
          <w:sz w:val="24"/>
          <w:szCs w:val="24"/>
        </w:rPr>
        <w:t xml:space="preserve"> works.  </w:t>
      </w:r>
      <w:bookmarkStart w:id="83" w:name="Psych_Cite_483"/>
      <w:r w:rsidR="00B50B6D">
        <w:rPr>
          <w:rFonts w:ascii="Times New Roman" w:hAnsi="Times New Roman" w:cs="Times New Roman"/>
          <w:sz w:val="24"/>
          <w:szCs w:val="24"/>
          <w:u w:val="single"/>
        </w:rPr>
        <w:t>Playboy Enters.</w:t>
      </w:r>
      <w:r w:rsidR="00B50B6D" w:rsidRPr="00277397">
        <w:rPr>
          <w:rFonts w:ascii="Times New Roman" w:hAnsi="Times New Roman" w:cs="Times New Roman"/>
          <w:sz w:val="24"/>
          <w:szCs w:val="24"/>
        </w:rPr>
        <w:t xml:space="preserve">, 960 F. Supp. </w:t>
      </w:r>
      <w:r w:rsidR="00B50B6D">
        <w:rPr>
          <w:rFonts w:ascii="Times New Roman" w:hAnsi="Times New Roman" w:cs="Times New Roman"/>
          <w:sz w:val="24"/>
          <w:szCs w:val="24"/>
        </w:rPr>
        <w:t>at</w:t>
      </w:r>
      <w:r w:rsidR="00B50B6D" w:rsidRPr="00277397">
        <w:rPr>
          <w:rFonts w:ascii="Times New Roman" w:hAnsi="Times New Roman" w:cs="Times New Roman"/>
          <w:sz w:val="24"/>
          <w:szCs w:val="24"/>
        </w:rPr>
        <w:t xml:space="preserve"> 723</w:t>
      </w:r>
      <w:bookmarkEnd w:id="83"/>
      <w:r w:rsidR="00B50B6D" w:rsidRPr="00277397">
        <w:rPr>
          <w:rFonts w:ascii="Times New Roman" w:hAnsi="Times New Roman" w:cs="Times New Roman"/>
          <w:sz w:val="24"/>
          <w:szCs w:val="24"/>
        </w:rPr>
        <w:t>.</w:t>
      </w:r>
    </w:p>
    <w:p w14:paraId="20DA1545" w14:textId="77777777" w:rsidR="00277397" w:rsidRPr="00277397" w:rsidRDefault="00277397" w:rsidP="00277397">
      <w:pPr>
        <w:pStyle w:val="NoSpacing"/>
        <w:numPr>
          <w:ilvl w:val="0"/>
          <w:numId w:val="38"/>
        </w:numPr>
        <w:spacing w:line="480" w:lineRule="auto"/>
        <w:jc w:val="both"/>
        <w:rPr>
          <w:rFonts w:ascii="Times New Roman" w:hAnsi="Times New Roman" w:cs="Times New Roman"/>
          <w:b/>
          <w:sz w:val="24"/>
          <w:szCs w:val="24"/>
        </w:rPr>
      </w:pPr>
      <w:r w:rsidRPr="00277397">
        <w:rPr>
          <w:rFonts w:ascii="Times New Roman" w:hAnsi="Times New Roman" w:cs="Times New Roman"/>
          <w:b/>
          <w:sz w:val="24"/>
          <w:szCs w:val="24"/>
        </w:rPr>
        <w:t xml:space="preserve">The Goals of the Copyright Act are Best Preserved By Ruling in Favor of Lime.  </w:t>
      </w:r>
    </w:p>
    <w:p w14:paraId="696EC7F0" w14:textId="77777777" w:rsidR="002951A6" w:rsidRPr="00277397" w:rsidRDefault="00FA7BC6" w:rsidP="00277397">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 xml:space="preserve">The United States Court of Appeals for the Seventh Circuit reiterates </w:t>
      </w:r>
      <w:r w:rsidR="00701E30" w:rsidRPr="00277397">
        <w:rPr>
          <w:rFonts w:ascii="Times New Roman" w:hAnsi="Times New Roman" w:cs="Times New Roman"/>
          <w:sz w:val="24"/>
          <w:szCs w:val="24"/>
        </w:rPr>
        <w:t>legislative history</w:t>
      </w:r>
      <w:r w:rsidRPr="00277397">
        <w:rPr>
          <w:rFonts w:ascii="Times New Roman" w:hAnsi="Times New Roman" w:cs="Times New Roman"/>
          <w:sz w:val="24"/>
          <w:szCs w:val="24"/>
        </w:rPr>
        <w:t xml:space="preserve"> and other </w:t>
      </w:r>
      <w:r w:rsidR="00701E30" w:rsidRPr="00277397">
        <w:rPr>
          <w:rFonts w:ascii="Times New Roman" w:hAnsi="Times New Roman" w:cs="Times New Roman"/>
          <w:sz w:val="24"/>
          <w:szCs w:val="24"/>
        </w:rPr>
        <w:t>courts</w:t>
      </w:r>
      <w:r w:rsidRPr="00277397">
        <w:rPr>
          <w:rFonts w:ascii="Times New Roman" w:hAnsi="Times New Roman" w:cs="Times New Roman"/>
          <w:sz w:val="24"/>
          <w:szCs w:val="24"/>
        </w:rPr>
        <w:t xml:space="preserve"> when it states that a</w:t>
      </w:r>
      <w:r w:rsidR="00AC1EF0" w:rsidRPr="00277397">
        <w:rPr>
          <w:rFonts w:ascii="Times New Roman" w:hAnsi="Times New Roman" w:cs="Times New Roman"/>
          <w:sz w:val="24"/>
          <w:szCs w:val="24"/>
        </w:rPr>
        <w:t xml:space="preserve"> purpose of the “signed-statement requirement in section </w:t>
      </w:r>
      <w:r w:rsidR="00AC1EF0" w:rsidRPr="00277397">
        <w:rPr>
          <w:rFonts w:ascii="Times New Roman" w:hAnsi="Times New Roman" w:cs="Times New Roman"/>
          <w:sz w:val="24"/>
          <w:szCs w:val="24"/>
        </w:rPr>
        <w:lastRenderedPageBreak/>
        <w:t>101(2)” is “to make the ownership of property rights in intellect</w:t>
      </w:r>
      <w:r w:rsidR="00701E30" w:rsidRPr="00277397">
        <w:rPr>
          <w:rFonts w:ascii="Times New Roman" w:hAnsi="Times New Roman" w:cs="Times New Roman"/>
          <w:sz w:val="24"/>
          <w:szCs w:val="24"/>
        </w:rPr>
        <w:t>ual property clear and definite</w:t>
      </w:r>
      <w:r w:rsidR="00AC1EF0" w:rsidRPr="00277397">
        <w:rPr>
          <w:rFonts w:ascii="Times New Roman" w:hAnsi="Times New Roman" w:cs="Times New Roman"/>
          <w:sz w:val="24"/>
          <w:szCs w:val="24"/>
        </w:rPr>
        <w:t>.”</w:t>
      </w:r>
      <w:r w:rsidR="002C68AD" w:rsidRPr="00277397">
        <w:rPr>
          <w:rFonts w:ascii="Times New Roman" w:hAnsi="Times New Roman" w:cs="Times New Roman"/>
          <w:sz w:val="24"/>
          <w:szCs w:val="24"/>
        </w:rPr>
        <w:t xml:space="preserve">  </w:t>
      </w:r>
      <w:bookmarkStart w:id="84" w:name="CITRUS_BOOKMARK125"/>
      <w:r w:rsidR="00F71A58" w:rsidRPr="00C2432F">
        <w:rPr>
          <w:rFonts w:ascii="Times New Roman" w:hAnsi="Times New Roman" w:cs="Times New Roman"/>
          <w:sz w:val="24"/>
          <w:szCs w:val="24"/>
          <w:u w:val="single"/>
        </w:rPr>
        <w:t>Schiller &amp; Schmidt v. Nordisco Corp.</w:t>
      </w:r>
      <w:r w:rsidR="00F71A58" w:rsidRPr="00C2432F">
        <w:rPr>
          <w:rFonts w:ascii="Times New Roman" w:hAnsi="Times New Roman" w:cs="Times New Roman"/>
          <w:sz w:val="24"/>
          <w:szCs w:val="24"/>
        </w:rPr>
        <w:t>, 969 F.2d 410, 412 (7th Cir. 1992)</w:t>
      </w:r>
      <w:bookmarkEnd w:id="84"/>
      <w:r w:rsidR="002C68AD" w:rsidRPr="00277397">
        <w:rPr>
          <w:rFonts w:ascii="Times New Roman" w:hAnsi="Times New Roman" w:cs="Times New Roman"/>
          <w:sz w:val="24"/>
          <w:szCs w:val="24"/>
        </w:rPr>
        <w:t xml:space="preserve">.  </w:t>
      </w:r>
      <w:r w:rsidR="002C68AD" w:rsidRPr="00277397">
        <w:rPr>
          <w:rStyle w:val="ssleftalign"/>
          <w:rFonts w:ascii="Times New Roman" w:hAnsi="Times New Roman" w:cs="Times New Roman"/>
          <w:sz w:val="24"/>
          <w:szCs w:val="24"/>
        </w:rPr>
        <w:t>The writing must precede the creation of the property in order to serve its purpose of identifying the (non-creator) owner unequivocally.</w:t>
      </w:r>
      <w:r w:rsidR="00904FD0" w:rsidRPr="00277397">
        <w:rPr>
          <w:rStyle w:val="ssleftalign"/>
          <w:rFonts w:ascii="Times New Roman" w:hAnsi="Times New Roman" w:cs="Times New Roman"/>
          <w:sz w:val="24"/>
          <w:szCs w:val="24"/>
        </w:rPr>
        <w:t xml:space="preserve">  </w:t>
      </w:r>
      <w:bookmarkStart w:id="85" w:name="Psych_Cite_484"/>
      <w:r w:rsidR="00904FD0" w:rsidRPr="00277397">
        <w:rPr>
          <w:rStyle w:val="ssleftalign"/>
          <w:rFonts w:ascii="Times New Roman" w:hAnsi="Times New Roman" w:cs="Times New Roman"/>
          <w:sz w:val="24"/>
          <w:szCs w:val="24"/>
          <w:u w:val="single"/>
        </w:rPr>
        <w:t>Schi</w:t>
      </w:r>
      <w:r w:rsidR="00424B72">
        <w:rPr>
          <w:rStyle w:val="ssleftalign"/>
          <w:rFonts w:ascii="Times New Roman" w:hAnsi="Times New Roman" w:cs="Times New Roman"/>
          <w:sz w:val="24"/>
          <w:szCs w:val="24"/>
          <w:u w:val="single"/>
        </w:rPr>
        <w:t>ller &amp; Schmidt</w:t>
      </w:r>
      <w:r w:rsidR="00904FD0" w:rsidRPr="00277397">
        <w:rPr>
          <w:rStyle w:val="ssleftalign"/>
          <w:rFonts w:ascii="Times New Roman" w:hAnsi="Times New Roman" w:cs="Times New Roman"/>
          <w:sz w:val="24"/>
          <w:szCs w:val="24"/>
        </w:rPr>
        <w:t>, 969 F.2d at 413</w:t>
      </w:r>
      <w:bookmarkEnd w:id="85"/>
      <w:r w:rsidR="00904FD0" w:rsidRPr="00277397">
        <w:rPr>
          <w:rStyle w:val="ssleftalign"/>
          <w:rFonts w:ascii="Times New Roman" w:hAnsi="Times New Roman" w:cs="Times New Roman"/>
          <w:sz w:val="24"/>
          <w:szCs w:val="24"/>
        </w:rPr>
        <w:t>.</w:t>
      </w:r>
      <w:r w:rsidR="00277397" w:rsidRPr="00277397">
        <w:rPr>
          <w:rStyle w:val="ssleftalign"/>
          <w:rFonts w:ascii="Times New Roman" w:hAnsi="Times New Roman" w:cs="Times New Roman"/>
          <w:sz w:val="24"/>
          <w:szCs w:val="24"/>
        </w:rPr>
        <w:t xml:space="preserve">  The United States Court of Appeals for the Ninth Circuit </w:t>
      </w:r>
      <w:r w:rsidR="00277397">
        <w:rPr>
          <w:rStyle w:val="ssleftalign"/>
          <w:rFonts w:ascii="Times New Roman" w:hAnsi="Times New Roman" w:cs="Times New Roman"/>
          <w:sz w:val="24"/>
          <w:szCs w:val="24"/>
        </w:rPr>
        <w:t>notes</w:t>
      </w:r>
      <w:r w:rsidR="00277397" w:rsidRPr="00277397">
        <w:rPr>
          <w:rStyle w:val="ssleftalign"/>
          <w:rFonts w:ascii="Times New Roman" w:hAnsi="Times New Roman" w:cs="Times New Roman"/>
          <w:sz w:val="24"/>
          <w:szCs w:val="24"/>
        </w:rPr>
        <w:t xml:space="preserve"> that the statute’s plain language indicates that a “Made for Hire” agreement cannot apply to works already created.</w:t>
      </w:r>
      <w:r w:rsidR="00277397">
        <w:rPr>
          <w:rStyle w:val="ssleftalign"/>
          <w:rFonts w:ascii="Times New Roman" w:hAnsi="Times New Roman" w:cs="Times New Roman"/>
          <w:sz w:val="24"/>
          <w:szCs w:val="24"/>
        </w:rPr>
        <w:t xml:space="preserve">  </w:t>
      </w:r>
      <w:bookmarkStart w:id="86" w:name="Psych_Cite_485"/>
      <w:r w:rsidR="00277397">
        <w:rPr>
          <w:rStyle w:val="ssleftalign"/>
          <w:rFonts w:ascii="Times New Roman" w:hAnsi="Times New Roman" w:cs="Times New Roman"/>
          <w:sz w:val="24"/>
          <w:szCs w:val="24"/>
          <w:u w:val="single"/>
        </w:rPr>
        <w:t>Gladwell Gov’t Servs. v. Couny of Marin</w:t>
      </w:r>
      <w:r w:rsidR="00277397">
        <w:rPr>
          <w:rStyle w:val="ssleftalign"/>
          <w:rFonts w:ascii="Times New Roman" w:hAnsi="Times New Roman" w:cs="Times New Roman"/>
          <w:sz w:val="24"/>
          <w:szCs w:val="24"/>
        </w:rPr>
        <w:t>, 265 Fed. Appx. 624, 626 (2008)</w:t>
      </w:r>
      <w:bookmarkEnd w:id="86"/>
      <w:r w:rsidR="00277397">
        <w:rPr>
          <w:rStyle w:val="ssleftalign"/>
          <w:rFonts w:ascii="Times New Roman" w:hAnsi="Times New Roman" w:cs="Times New Roman"/>
          <w:sz w:val="24"/>
          <w:szCs w:val="24"/>
        </w:rPr>
        <w:t xml:space="preserve">.  Commissioned works can only be created after the execution of an express agreement between the parties.  </w:t>
      </w:r>
      <w:bookmarkStart w:id="87" w:name="Psych_Cite_486"/>
      <w:r w:rsidR="00277397">
        <w:rPr>
          <w:rStyle w:val="ssleftalign"/>
          <w:rFonts w:ascii="Times New Roman" w:hAnsi="Times New Roman" w:cs="Times New Roman"/>
          <w:sz w:val="24"/>
          <w:szCs w:val="24"/>
          <w:u w:val="single"/>
        </w:rPr>
        <w:t>Gladwell Gov’t Servs.</w:t>
      </w:r>
      <w:r w:rsidR="00277397">
        <w:rPr>
          <w:rStyle w:val="ssleftalign"/>
          <w:rFonts w:ascii="Times New Roman" w:hAnsi="Times New Roman" w:cs="Times New Roman"/>
          <w:sz w:val="24"/>
          <w:szCs w:val="24"/>
        </w:rPr>
        <w:t>, 265 Fed. Appx. at 626</w:t>
      </w:r>
      <w:bookmarkEnd w:id="87"/>
      <w:r w:rsidR="00277397">
        <w:rPr>
          <w:rStyle w:val="ssleftalign"/>
          <w:rFonts w:ascii="Times New Roman" w:hAnsi="Times New Roman" w:cs="Times New Roman"/>
          <w:sz w:val="24"/>
          <w:szCs w:val="24"/>
        </w:rPr>
        <w:t xml:space="preserve">.   </w:t>
      </w:r>
      <w:r w:rsidR="00701E30" w:rsidRPr="00277397">
        <w:rPr>
          <w:rFonts w:ascii="Times New Roman" w:hAnsi="Times New Roman" w:cs="Times New Roman"/>
          <w:sz w:val="24"/>
          <w:szCs w:val="24"/>
        </w:rPr>
        <w:t xml:space="preserve">If the Court interprets the statute not to require a written agreement preceding the creation of </w:t>
      </w:r>
      <w:r w:rsidR="002C68AD" w:rsidRPr="00277397">
        <w:rPr>
          <w:rFonts w:ascii="Times New Roman" w:hAnsi="Times New Roman" w:cs="Times New Roman"/>
          <w:sz w:val="24"/>
          <w:szCs w:val="24"/>
        </w:rPr>
        <w:t>the commission</w:t>
      </w:r>
      <w:r w:rsidR="00701E30" w:rsidRPr="00277397">
        <w:rPr>
          <w:rFonts w:ascii="Times New Roman" w:hAnsi="Times New Roman" w:cs="Times New Roman"/>
          <w:sz w:val="24"/>
          <w:szCs w:val="24"/>
        </w:rPr>
        <w:t>ed</w:t>
      </w:r>
      <w:r w:rsidR="002C68AD" w:rsidRPr="00277397">
        <w:rPr>
          <w:rFonts w:ascii="Times New Roman" w:hAnsi="Times New Roman" w:cs="Times New Roman"/>
          <w:sz w:val="24"/>
          <w:szCs w:val="24"/>
        </w:rPr>
        <w:t xml:space="preserve"> work, it </w:t>
      </w:r>
      <w:r w:rsidR="00B1505B" w:rsidRPr="00277397">
        <w:rPr>
          <w:rFonts w:ascii="Times New Roman" w:hAnsi="Times New Roman" w:cs="Times New Roman"/>
          <w:sz w:val="24"/>
          <w:szCs w:val="24"/>
        </w:rPr>
        <w:t>is</w:t>
      </w:r>
      <w:r w:rsidR="002C68AD" w:rsidRPr="00277397">
        <w:rPr>
          <w:rFonts w:ascii="Times New Roman" w:hAnsi="Times New Roman" w:cs="Times New Roman"/>
          <w:sz w:val="24"/>
          <w:szCs w:val="24"/>
        </w:rPr>
        <w:t xml:space="preserve"> unclear who owns the copyright</w:t>
      </w:r>
      <w:r w:rsidR="00B1505B" w:rsidRPr="00277397">
        <w:rPr>
          <w:rFonts w:ascii="Times New Roman" w:hAnsi="Times New Roman" w:cs="Times New Roman"/>
          <w:sz w:val="24"/>
          <w:szCs w:val="24"/>
        </w:rPr>
        <w:t xml:space="preserve"> at all times</w:t>
      </w:r>
      <w:r w:rsidR="002C68AD" w:rsidRPr="00277397">
        <w:rPr>
          <w:rFonts w:ascii="Times New Roman" w:hAnsi="Times New Roman" w:cs="Times New Roman"/>
          <w:sz w:val="24"/>
          <w:szCs w:val="24"/>
        </w:rPr>
        <w:t xml:space="preserve">.  </w:t>
      </w:r>
    </w:p>
    <w:p w14:paraId="59F93427" w14:textId="77777777" w:rsidR="00B1505B" w:rsidRPr="00277397" w:rsidRDefault="002C68AD" w:rsidP="00701E30">
      <w:pPr>
        <w:pStyle w:val="NoSpacing"/>
        <w:spacing w:line="480" w:lineRule="auto"/>
        <w:ind w:firstLine="720"/>
        <w:jc w:val="both"/>
        <w:rPr>
          <w:rFonts w:ascii="Times New Roman" w:hAnsi="Times New Roman" w:cs="Times New Roman"/>
          <w:sz w:val="24"/>
          <w:szCs w:val="24"/>
        </w:rPr>
      </w:pPr>
      <w:r w:rsidRPr="00277397">
        <w:rPr>
          <w:rFonts w:ascii="Times New Roman" w:hAnsi="Times New Roman" w:cs="Times New Roman"/>
          <w:sz w:val="24"/>
          <w:szCs w:val="24"/>
        </w:rPr>
        <w:t xml:space="preserve">In the instant case, OGS asked Lime </w:t>
      </w:r>
      <w:r w:rsidR="00B1505B" w:rsidRPr="00277397">
        <w:rPr>
          <w:rFonts w:ascii="Times New Roman" w:hAnsi="Times New Roman" w:cs="Times New Roman"/>
          <w:sz w:val="24"/>
          <w:szCs w:val="24"/>
        </w:rPr>
        <w:t xml:space="preserve">to write </w:t>
      </w:r>
      <w:r w:rsidR="00F549EC">
        <w:rPr>
          <w:rFonts w:ascii="Times New Roman" w:hAnsi="Times New Roman" w:cs="Times New Roman"/>
          <w:sz w:val="24"/>
          <w:szCs w:val="24"/>
        </w:rPr>
        <w:t xml:space="preserve">a screenplay on March 27, 2010 and </w:t>
      </w:r>
      <w:r w:rsidR="00B1505B" w:rsidRPr="00277397">
        <w:rPr>
          <w:rFonts w:ascii="Times New Roman" w:hAnsi="Times New Roman" w:cs="Times New Roman"/>
          <w:sz w:val="24"/>
          <w:szCs w:val="24"/>
        </w:rPr>
        <w:t xml:space="preserve">Lime submitted </w:t>
      </w:r>
      <w:r w:rsidR="00F549EC">
        <w:rPr>
          <w:rFonts w:ascii="Times New Roman" w:hAnsi="Times New Roman" w:cs="Times New Roman"/>
          <w:sz w:val="24"/>
          <w:szCs w:val="24"/>
        </w:rPr>
        <w:t>the screenplay on April 1, 2010.</w:t>
      </w:r>
      <w:r w:rsidR="00B1505B" w:rsidRPr="00277397">
        <w:rPr>
          <w:rFonts w:ascii="Times New Roman" w:hAnsi="Times New Roman" w:cs="Times New Roman"/>
          <w:sz w:val="24"/>
          <w:szCs w:val="24"/>
        </w:rPr>
        <w:t xml:space="preserve"> </w:t>
      </w:r>
      <w:r w:rsidR="00F549EC">
        <w:rPr>
          <w:rFonts w:ascii="Times New Roman" w:hAnsi="Times New Roman" w:cs="Times New Roman"/>
          <w:sz w:val="24"/>
          <w:szCs w:val="24"/>
        </w:rPr>
        <w:t xml:space="preserve"> (Compl. ¶¶ 9, 21</w:t>
      </w:r>
      <w:r w:rsidR="00B1505B" w:rsidRPr="00277397">
        <w:rPr>
          <w:rFonts w:ascii="Times New Roman" w:hAnsi="Times New Roman" w:cs="Times New Roman"/>
          <w:sz w:val="24"/>
          <w:szCs w:val="24"/>
        </w:rPr>
        <w:t>).  The “made for hire” agreement was not signed by both parties until April 6, 2010.</w:t>
      </w:r>
      <w:r w:rsidR="00E364EF" w:rsidRPr="00277397">
        <w:rPr>
          <w:rFonts w:ascii="Times New Roman" w:hAnsi="Times New Roman" w:cs="Times New Roman"/>
          <w:sz w:val="24"/>
          <w:szCs w:val="24"/>
        </w:rPr>
        <w:t xml:space="preserve">  (</w:t>
      </w:r>
      <w:bookmarkStart w:id="88" w:name="Psych_Cite_607"/>
      <w:r w:rsidR="00E364EF" w:rsidRPr="00277397">
        <w:rPr>
          <w:rFonts w:ascii="Times New Roman" w:hAnsi="Times New Roman" w:cs="Times New Roman"/>
          <w:sz w:val="24"/>
          <w:szCs w:val="24"/>
          <w:u w:val="single"/>
        </w:rPr>
        <w:t>Id</w:t>
      </w:r>
      <w:r w:rsidR="00E364EF" w:rsidRPr="00277397">
        <w:rPr>
          <w:rFonts w:ascii="Times New Roman" w:hAnsi="Times New Roman" w:cs="Times New Roman"/>
          <w:sz w:val="24"/>
          <w:szCs w:val="24"/>
        </w:rPr>
        <w:t>. ¶¶ 24, 25</w:t>
      </w:r>
      <w:bookmarkEnd w:id="88"/>
      <w:r w:rsidR="00E364EF" w:rsidRPr="00277397">
        <w:rPr>
          <w:rFonts w:ascii="Times New Roman" w:hAnsi="Times New Roman" w:cs="Times New Roman"/>
          <w:sz w:val="24"/>
          <w:szCs w:val="24"/>
        </w:rPr>
        <w:t xml:space="preserve">).  </w:t>
      </w:r>
      <w:r w:rsidR="009A0639" w:rsidRPr="00277397">
        <w:rPr>
          <w:rFonts w:ascii="Times New Roman" w:hAnsi="Times New Roman" w:cs="Times New Roman"/>
          <w:sz w:val="24"/>
          <w:szCs w:val="24"/>
        </w:rPr>
        <w:t xml:space="preserve">If OGS argues that ownership transferred </w:t>
      </w:r>
      <w:r w:rsidR="009A0639">
        <w:rPr>
          <w:rFonts w:ascii="Times New Roman" w:hAnsi="Times New Roman" w:cs="Times New Roman"/>
          <w:sz w:val="24"/>
          <w:szCs w:val="24"/>
        </w:rPr>
        <w:t>retroactively because</w:t>
      </w:r>
      <w:r w:rsidR="00B1505B" w:rsidRPr="00277397">
        <w:rPr>
          <w:rFonts w:ascii="Times New Roman" w:hAnsi="Times New Roman" w:cs="Times New Roman"/>
          <w:sz w:val="24"/>
          <w:szCs w:val="24"/>
        </w:rPr>
        <w:t xml:space="preserve"> the written agreement need not precede the commissioned work, it is unclear when the ownership of the copyright transfers from Lime to OGS.</w:t>
      </w:r>
      <w:r w:rsidR="009A0639">
        <w:rPr>
          <w:rFonts w:ascii="Times New Roman" w:hAnsi="Times New Roman" w:cs="Times New Roman"/>
          <w:sz w:val="24"/>
          <w:szCs w:val="24"/>
        </w:rPr>
        <w:t xml:space="preserve">  </w:t>
      </w:r>
      <w:r w:rsidR="00B1505B" w:rsidRPr="00277397">
        <w:rPr>
          <w:rFonts w:ascii="Times New Roman" w:hAnsi="Times New Roman" w:cs="Times New Roman"/>
          <w:sz w:val="24"/>
          <w:szCs w:val="24"/>
        </w:rPr>
        <w:t>For purposes of clarity and marketability, it must be clear who own</w:t>
      </w:r>
      <w:r w:rsidR="006E01B8" w:rsidRPr="00277397">
        <w:rPr>
          <w:rFonts w:ascii="Times New Roman" w:hAnsi="Times New Roman" w:cs="Times New Roman"/>
          <w:sz w:val="24"/>
          <w:szCs w:val="24"/>
        </w:rPr>
        <w:t xml:space="preserve">s the screenplay at all times.  </w:t>
      </w:r>
      <w:r w:rsidR="00B1505B" w:rsidRPr="00277397">
        <w:rPr>
          <w:rFonts w:ascii="Times New Roman" w:hAnsi="Times New Roman" w:cs="Times New Roman"/>
          <w:sz w:val="24"/>
          <w:szCs w:val="24"/>
        </w:rPr>
        <w:t>Lime’s interpretation of the Copyright Act is the only understanding of the statute that provides a clear standard to determine the true owner of the copyright.</w:t>
      </w:r>
      <w:r w:rsidR="006F78A4">
        <w:rPr>
          <w:rFonts w:ascii="Times New Roman" w:hAnsi="Times New Roman" w:cs="Times New Roman"/>
          <w:sz w:val="24"/>
          <w:szCs w:val="24"/>
        </w:rPr>
        <w:t xml:space="preserve">  </w:t>
      </w:r>
    </w:p>
    <w:p w14:paraId="4852A092" w14:textId="77777777" w:rsidR="006E01B8" w:rsidRPr="00277397" w:rsidRDefault="006E01B8" w:rsidP="006E01B8">
      <w:pPr>
        <w:pStyle w:val="NoSpacing"/>
        <w:spacing w:line="480" w:lineRule="auto"/>
        <w:jc w:val="center"/>
        <w:rPr>
          <w:rFonts w:ascii="Times New Roman" w:hAnsi="Times New Roman" w:cs="Times New Roman"/>
          <w:sz w:val="24"/>
          <w:szCs w:val="24"/>
          <w:u w:val="single"/>
        </w:rPr>
      </w:pPr>
      <w:r w:rsidRPr="00277397">
        <w:rPr>
          <w:rFonts w:ascii="Times New Roman" w:hAnsi="Times New Roman" w:cs="Times New Roman"/>
          <w:sz w:val="24"/>
          <w:szCs w:val="24"/>
          <w:u w:val="single"/>
        </w:rPr>
        <w:t>CONCLUSION</w:t>
      </w:r>
    </w:p>
    <w:p w14:paraId="24E6EA2A" w14:textId="77777777" w:rsidR="006E01B8" w:rsidRDefault="00EE488E" w:rsidP="0045263E">
      <w:pPr>
        <w:pStyle w:val="NoSpacing"/>
        <w:spacing w:line="480" w:lineRule="auto"/>
        <w:jc w:val="both"/>
        <w:rPr>
          <w:rFonts w:ascii="Times New Roman" w:hAnsi="Times New Roman" w:cs="Times New Roman"/>
          <w:sz w:val="24"/>
          <w:szCs w:val="24"/>
        </w:rPr>
      </w:pPr>
      <w:r w:rsidRPr="00277397">
        <w:rPr>
          <w:rFonts w:ascii="Times New Roman" w:hAnsi="Times New Roman" w:cs="Times New Roman"/>
          <w:sz w:val="24"/>
          <w:szCs w:val="24"/>
        </w:rPr>
        <w:tab/>
      </w:r>
      <w:r w:rsidR="005F7F3B" w:rsidRPr="00277397">
        <w:rPr>
          <w:rFonts w:ascii="Times New Roman" w:hAnsi="Times New Roman" w:cs="Times New Roman"/>
          <w:sz w:val="24"/>
          <w:szCs w:val="24"/>
        </w:rPr>
        <w:t>OGS has no cause of action against Lime for copyright infringement.  Given t</w:t>
      </w:r>
      <w:r w:rsidRPr="00277397">
        <w:rPr>
          <w:rFonts w:ascii="Times New Roman" w:hAnsi="Times New Roman" w:cs="Times New Roman"/>
          <w:sz w:val="24"/>
          <w:szCs w:val="24"/>
        </w:rPr>
        <w:t xml:space="preserve">he plain language of </w:t>
      </w:r>
      <w:bookmarkStart w:id="89" w:name="CITRUS_BOOKMARK1000000068"/>
      <w:r w:rsidRPr="00285AE2">
        <w:rPr>
          <w:rFonts w:ascii="Times New Roman" w:hAnsi="Times New Roman" w:cs="Times New Roman"/>
          <w:sz w:val="24"/>
          <w:szCs w:val="24"/>
        </w:rPr>
        <w:t>17 U.S.C</w:t>
      </w:r>
      <w:r w:rsidR="00285AE2" w:rsidRPr="00285AE2">
        <w:rPr>
          <w:rFonts w:ascii="Times New Roman" w:hAnsi="Times New Roman" w:cs="Times New Roman"/>
          <w:sz w:val="24"/>
          <w:szCs w:val="24"/>
        </w:rPr>
        <w:t>.</w:t>
      </w:r>
      <w:r w:rsidRPr="00285AE2">
        <w:rPr>
          <w:rFonts w:ascii="Times New Roman" w:hAnsi="Times New Roman" w:cs="Times New Roman"/>
          <w:sz w:val="24"/>
          <w:szCs w:val="24"/>
        </w:rPr>
        <w:t xml:space="preserve"> § 101(2)</w:t>
      </w:r>
      <w:bookmarkEnd w:id="89"/>
      <w:r w:rsidRPr="00277397">
        <w:rPr>
          <w:rFonts w:ascii="Times New Roman" w:hAnsi="Times New Roman" w:cs="Times New Roman"/>
          <w:sz w:val="24"/>
          <w:szCs w:val="24"/>
        </w:rPr>
        <w:t xml:space="preserve"> and the Congressional intent to require that a written agreement</w:t>
      </w:r>
      <w:r w:rsidR="005F7F3B" w:rsidRPr="00277397">
        <w:rPr>
          <w:rFonts w:ascii="Times New Roman" w:hAnsi="Times New Roman" w:cs="Times New Roman"/>
          <w:sz w:val="24"/>
          <w:szCs w:val="24"/>
        </w:rPr>
        <w:t xml:space="preserve"> precede the commissioned work, Lime is the copyright owner of her screenplay “Anticipatory Repudiation.”  </w:t>
      </w:r>
      <w:r w:rsidR="00496897" w:rsidRPr="00277397">
        <w:rPr>
          <w:rFonts w:ascii="Times New Roman" w:hAnsi="Times New Roman" w:cs="Times New Roman"/>
          <w:sz w:val="24"/>
          <w:szCs w:val="24"/>
        </w:rPr>
        <w:t>Additionally</w:t>
      </w:r>
      <w:r w:rsidR="005F7F3B" w:rsidRPr="00277397">
        <w:rPr>
          <w:rFonts w:ascii="Times New Roman" w:hAnsi="Times New Roman" w:cs="Times New Roman"/>
          <w:sz w:val="24"/>
          <w:szCs w:val="24"/>
        </w:rPr>
        <w:t xml:space="preserve">, </w:t>
      </w:r>
      <w:r w:rsidR="009A0639">
        <w:rPr>
          <w:rFonts w:ascii="Times New Roman" w:hAnsi="Times New Roman" w:cs="Times New Roman"/>
          <w:sz w:val="24"/>
          <w:szCs w:val="24"/>
        </w:rPr>
        <w:t xml:space="preserve">the rule of lenity mandates that </w:t>
      </w:r>
      <w:r w:rsidR="005F7F3B" w:rsidRPr="00277397">
        <w:rPr>
          <w:rFonts w:ascii="Times New Roman" w:hAnsi="Times New Roman" w:cs="Times New Roman"/>
          <w:sz w:val="24"/>
          <w:szCs w:val="24"/>
        </w:rPr>
        <w:t xml:space="preserve">Lime’s interpretation of the statute </w:t>
      </w:r>
      <w:r w:rsidR="005F7F3B" w:rsidRPr="00277397">
        <w:rPr>
          <w:rFonts w:ascii="Times New Roman" w:hAnsi="Times New Roman" w:cs="Times New Roman"/>
          <w:sz w:val="24"/>
          <w:szCs w:val="24"/>
        </w:rPr>
        <w:lastRenderedPageBreak/>
        <w:t xml:space="preserve">be accepted. </w:t>
      </w:r>
      <w:r w:rsidR="00496897" w:rsidRPr="00277397">
        <w:rPr>
          <w:rFonts w:ascii="Times New Roman" w:hAnsi="Times New Roman" w:cs="Times New Roman"/>
          <w:sz w:val="24"/>
          <w:szCs w:val="24"/>
        </w:rPr>
        <w:t>C</w:t>
      </w:r>
      <w:r w:rsidR="003A3F4F" w:rsidRPr="00277397">
        <w:rPr>
          <w:rFonts w:ascii="Times New Roman" w:hAnsi="Times New Roman" w:cs="Times New Roman"/>
          <w:sz w:val="24"/>
          <w:szCs w:val="24"/>
        </w:rPr>
        <w:t>ases in multiple jurisdictions support Lime’s argument</w:t>
      </w:r>
      <w:r w:rsidR="00F549EC">
        <w:rPr>
          <w:rFonts w:ascii="Times New Roman" w:hAnsi="Times New Roman" w:cs="Times New Roman"/>
          <w:sz w:val="24"/>
          <w:szCs w:val="24"/>
        </w:rPr>
        <w:t xml:space="preserve"> by adopting a bright-line literal interpretation rule maximizing predictability of ownership</w:t>
      </w:r>
      <w:r w:rsidR="003A3F4F" w:rsidRPr="00277397">
        <w:rPr>
          <w:rFonts w:ascii="Times New Roman" w:hAnsi="Times New Roman" w:cs="Times New Roman"/>
          <w:sz w:val="24"/>
          <w:szCs w:val="24"/>
        </w:rPr>
        <w:t xml:space="preserve">.  </w:t>
      </w:r>
      <w:r w:rsidR="005F7F3B" w:rsidRPr="00277397">
        <w:rPr>
          <w:rFonts w:ascii="Times New Roman" w:hAnsi="Times New Roman" w:cs="Times New Roman"/>
          <w:sz w:val="24"/>
          <w:szCs w:val="24"/>
        </w:rPr>
        <w:t xml:space="preserve">OGS’ claim against Lime should be dismissed because OGS improperly interprets </w:t>
      </w:r>
      <w:bookmarkStart w:id="90" w:name="CITRUS_BOOKMARK1000000069"/>
      <w:r w:rsidR="005F7F3B" w:rsidRPr="00285AE2">
        <w:rPr>
          <w:rFonts w:ascii="Times New Roman" w:hAnsi="Times New Roman" w:cs="Times New Roman"/>
          <w:sz w:val="24"/>
          <w:szCs w:val="24"/>
        </w:rPr>
        <w:t>17 U.S.C</w:t>
      </w:r>
      <w:r w:rsidR="00285AE2" w:rsidRPr="00285AE2">
        <w:rPr>
          <w:rFonts w:ascii="Times New Roman" w:hAnsi="Times New Roman" w:cs="Times New Roman"/>
          <w:sz w:val="24"/>
          <w:szCs w:val="24"/>
        </w:rPr>
        <w:t>.</w:t>
      </w:r>
      <w:r w:rsidR="005F7F3B" w:rsidRPr="00285AE2">
        <w:rPr>
          <w:rFonts w:ascii="Times New Roman" w:hAnsi="Times New Roman" w:cs="Times New Roman"/>
          <w:sz w:val="24"/>
          <w:szCs w:val="24"/>
        </w:rPr>
        <w:t xml:space="preserve"> § 101(2)</w:t>
      </w:r>
      <w:bookmarkEnd w:id="90"/>
      <w:r w:rsidR="005F7F3B" w:rsidRPr="00277397">
        <w:rPr>
          <w:rFonts w:ascii="Times New Roman" w:hAnsi="Times New Roman" w:cs="Times New Roman"/>
          <w:sz w:val="24"/>
          <w:szCs w:val="24"/>
        </w:rPr>
        <w:t>.</w:t>
      </w:r>
    </w:p>
    <w:p w14:paraId="49B22107" w14:textId="77777777" w:rsidR="003F736D" w:rsidRPr="00277397" w:rsidRDefault="003F736D" w:rsidP="003F736D">
      <w:pPr>
        <w:tabs>
          <w:tab w:val="right" w:pos="4320"/>
        </w:tabs>
        <w:rPr>
          <w:rFonts w:eastAsiaTheme="minorHAnsi"/>
        </w:rPr>
      </w:pPr>
    </w:p>
    <w:p w14:paraId="51A9E63A" w14:textId="77777777" w:rsidR="003F736D" w:rsidRPr="00277397" w:rsidRDefault="006E01B8" w:rsidP="003F736D">
      <w:pPr>
        <w:tabs>
          <w:tab w:val="right" w:pos="4320"/>
        </w:tabs>
      </w:pPr>
      <w:r w:rsidRPr="00277397">
        <w:t xml:space="preserve">Dated: </w:t>
      </w:r>
      <w:r w:rsidR="003F736D" w:rsidRPr="00277397">
        <w:t xml:space="preserve">March  </w:t>
      </w:r>
      <w:r w:rsidR="000A75CB" w:rsidRPr="00277397">
        <w:t>22</w:t>
      </w:r>
      <w:r w:rsidRPr="00277397">
        <w:t>,</w:t>
      </w:r>
      <w:r w:rsidR="003F736D" w:rsidRPr="00277397">
        <w:t xml:space="preserve"> 2012</w:t>
      </w:r>
      <w:r w:rsidR="003F736D" w:rsidRPr="00277397">
        <w:tab/>
      </w:r>
      <w:r w:rsidR="003F736D" w:rsidRPr="00277397">
        <w:tab/>
      </w:r>
      <w:r w:rsidR="003F736D" w:rsidRPr="00277397">
        <w:rPr>
          <w:u w:val="single"/>
        </w:rPr>
        <w:tab/>
      </w:r>
      <w:r w:rsidR="00D15CB0" w:rsidRPr="00277397">
        <w:rPr>
          <w:u w:val="single"/>
        </w:rPr>
        <w:tab/>
      </w:r>
      <w:r w:rsidR="00D15CB0" w:rsidRPr="00277397">
        <w:rPr>
          <w:u w:val="single"/>
        </w:rPr>
        <w:tab/>
      </w:r>
      <w:r w:rsidR="00D15CB0" w:rsidRPr="00277397">
        <w:rPr>
          <w:u w:val="single"/>
        </w:rPr>
        <w:tab/>
      </w:r>
      <w:r w:rsidR="00D15CB0" w:rsidRPr="00277397">
        <w:rPr>
          <w:u w:val="single"/>
        </w:rPr>
        <w:tab/>
      </w:r>
      <w:r w:rsidR="00D15CB0" w:rsidRPr="00277397">
        <w:rPr>
          <w:u w:val="single"/>
        </w:rPr>
        <w:tab/>
      </w:r>
    </w:p>
    <w:p w14:paraId="7DF2335B" w14:textId="77777777" w:rsidR="003F736D" w:rsidRPr="00277397" w:rsidRDefault="00D20716" w:rsidP="003F736D">
      <w:pPr>
        <w:pStyle w:val="NoSpacing"/>
        <w:ind w:left="5040"/>
        <w:rPr>
          <w:rFonts w:ascii="Times New Roman" w:hAnsi="Times New Roman" w:cs="Times New Roman"/>
          <w:sz w:val="24"/>
          <w:szCs w:val="24"/>
        </w:rPr>
      </w:pPr>
      <w:r>
        <w:rPr>
          <w:rFonts w:ascii="Times New Roman" w:eastAsia="Times New Roman" w:hAnsi="Times New Roman" w:cs="Times New Roman"/>
          <w:sz w:val="24"/>
          <w:szCs w:val="24"/>
        </w:rPr>
        <w:t>&lt;redacted&gt;&lt;/redacted&gt;</w:t>
      </w:r>
      <w:bookmarkStart w:id="91" w:name="_GoBack"/>
      <w:bookmarkEnd w:id="91"/>
    </w:p>
    <w:p w14:paraId="4FA926AA" w14:textId="77777777" w:rsidR="003F736D" w:rsidRPr="00277397" w:rsidRDefault="003F736D" w:rsidP="003F736D">
      <w:pPr>
        <w:pStyle w:val="NoSpacing"/>
        <w:rPr>
          <w:rFonts w:ascii="Times New Roman" w:hAnsi="Times New Roman" w:cs="Times New Roman"/>
          <w:sz w:val="24"/>
          <w:szCs w:val="24"/>
        </w:rPr>
      </w:pPr>
    </w:p>
    <w:p w14:paraId="273D244C" w14:textId="77777777" w:rsidR="006E01B8" w:rsidRPr="00463D8C" w:rsidRDefault="003F736D" w:rsidP="00463D8C">
      <w:pPr>
        <w:tabs>
          <w:tab w:val="right" w:pos="4320"/>
        </w:tabs>
        <w:ind w:left="5040"/>
        <w:rPr>
          <w:u w:val="single"/>
        </w:rPr>
      </w:pPr>
      <w:r w:rsidRPr="00277397">
        <w:t>Attorney for Defendants Elizabeth Lime and TinyTV, Inc.</w:t>
      </w:r>
      <w:r w:rsidR="006E01B8" w:rsidRPr="00277397">
        <w:tab/>
      </w:r>
      <w:r w:rsidR="006E01B8" w:rsidRPr="00277397">
        <w:tab/>
      </w:r>
    </w:p>
    <w:sectPr w:rsidR="006E01B8" w:rsidRPr="00463D8C">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A74E8E" w14:textId="77777777" w:rsidR="00FD7521" w:rsidRDefault="00FD7521" w:rsidP="00B34709">
      <w:r>
        <w:separator/>
      </w:r>
    </w:p>
  </w:endnote>
  <w:endnote w:type="continuationSeparator" w:id="0">
    <w:p w14:paraId="5E3B15A7" w14:textId="77777777" w:rsidR="00FD7521" w:rsidRDefault="00FD7521" w:rsidP="00B3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8903253"/>
      <w:docPartObj>
        <w:docPartGallery w:val="Page Numbers (Bottom of Page)"/>
        <w:docPartUnique/>
      </w:docPartObj>
    </w:sdtPr>
    <w:sdtEndPr>
      <w:rPr>
        <w:noProof/>
      </w:rPr>
    </w:sdtEndPr>
    <w:sdtContent>
      <w:p w14:paraId="5C9CCEAF" w14:textId="77777777" w:rsidR="00B018F8" w:rsidRDefault="00B018F8">
        <w:pPr>
          <w:pStyle w:val="Footer"/>
          <w:jc w:val="center"/>
        </w:pPr>
        <w:r>
          <w:fldChar w:fldCharType="begin"/>
        </w:r>
        <w:r>
          <w:instrText xml:space="preserve"> PAGE   \* MERGEFORMAT </w:instrText>
        </w:r>
        <w:r>
          <w:fldChar w:fldCharType="separate"/>
        </w:r>
        <w:r w:rsidR="00D20716">
          <w:rPr>
            <w:noProof/>
          </w:rPr>
          <w:t>18</w:t>
        </w:r>
        <w:r>
          <w:rPr>
            <w:noProof/>
          </w:rPr>
          <w:fldChar w:fldCharType="end"/>
        </w:r>
      </w:p>
    </w:sdtContent>
  </w:sdt>
  <w:p w14:paraId="06B1E7FE" w14:textId="77777777" w:rsidR="00B018F8" w:rsidRDefault="00B018F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74B2F7" w14:textId="77777777" w:rsidR="00FD7521" w:rsidRDefault="00FD7521" w:rsidP="00B34709">
      <w:r>
        <w:separator/>
      </w:r>
    </w:p>
  </w:footnote>
  <w:footnote w:type="continuationSeparator" w:id="0">
    <w:p w14:paraId="61463E2C" w14:textId="77777777" w:rsidR="00FD7521" w:rsidRDefault="00FD7521" w:rsidP="00B3470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5A1D"/>
    <w:multiLevelType w:val="hybridMultilevel"/>
    <w:tmpl w:val="711236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9D5DA8"/>
    <w:multiLevelType w:val="hybridMultilevel"/>
    <w:tmpl w:val="4D7E62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4D13A0"/>
    <w:multiLevelType w:val="multilevel"/>
    <w:tmpl w:val="61D8F1FC"/>
    <w:lvl w:ilvl="0">
      <w:start w:val="1"/>
      <w:numFmt w:val="upperRoman"/>
      <w:lvlText w:val="%1."/>
      <w:lvlJc w:val="left"/>
      <w:pPr>
        <w:ind w:left="720" w:hanging="720"/>
      </w:pPr>
      <w:rPr>
        <w:rFonts w:hint="default"/>
      </w:rPr>
    </w:lvl>
    <w:lvl w:ilvl="1">
      <w:start w:val="1"/>
      <w:numFmt w:val="none"/>
      <w:lvlText w:val="A."/>
      <w:lvlJc w:val="left"/>
      <w:pPr>
        <w:ind w:left="1080" w:hanging="720"/>
      </w:pPr>
      <w:rPr>
        <w:rFonts w:hint="default"/>
        <w:b/>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nsid w:val="0D330983"/>
    <w:multiLevelType w:val="hybridMultilevel"/>
    <w:tmpl w:val="4CD4CDE2"/>
    <w:lvl w:ilvl="0" w:tplc="29089B4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140BFA"/>
    <w:multiLevelType w:val="hybridMultilevel"/>
    <w:tmpl w:val="CAC2F6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47CA68E6">
      <w:start w:val="1"/>
      <w:numFmt w:val="lowerRoman"/>
      <w:lvlText w:val="%3."/>
      <w:lvlJc w:val="right"/>
      <w:pPr>
        <w:ind w:left="630" w:hanging="180"/>
      </w:pPr>
      <w:rPr>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F509C3"/>
    <w:multiLevelType w:val="hybridMultilevel"/>
    <w:tmpl w:val="0B0665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07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C8353D"/>
    <w:multiLevelType w:val="hybridMultilevel"/>
    <w:tmpl w:val="727A1460"/>
    <w:lvl w:ilvl="0" w:tplc="8CFAC1C6">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AE2F04"/>
    <w:multiLevelType w:val="multilevel"/>
    <w:tmpl w:val="D820F8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6C6265C"/>
    <w:multiLevelType w:val="multilevel"/>
    <w:tmpl w:val="61D8F1FC"/>
    <w:lvl w:ilvl="0">
      <w:start w:val="1"/>
      <w:numFmt w:val="upperRoman"/>
      <w:lvlText w:val="%1."/>
      <w:lvlJc w:val="left"/>
      <w:pPr>
        <w:ind w:left="720" w:hanging="720"/>
      </w:pPr>
      <w:rPr>
        <w:rFonts w:hint="default"/>
        <w:b/>
      </w:rPr>
    </w:lvl>
    <w:lvl w:ilvl="1">
      <w:start w:val="1"/>
      <w:numFmt w:val="none"/>
      <w:lvlText w:val="A."/>
      <w:lvlJc w:val="left"/>
      <w:pPr>
        <w:ind w:left="1080" w:hanging="720"/>
      </w:pPr>
      <w:rPr>
        <w:rFonts w:hint="default"/>
        <w:b/>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nsid w:val="290C5C66"/>
    <w:multiLevelType w:val="hybridMultilevel"/>
    <w:tmpl w:val="37343590"/>
    <w:lvl w:ilvl="0" w:tplc="2C6E045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98352F0"/>
    <w:multiLevelType w:val="hybridMultilevel"/>
    <w:tmpl w:val="719C0C0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2D37BB"/>
    <w:multiLevelType w:val="multilevel"/>
    <w:tmpl w:val="65668260"/>
    <w:lvl w:ilvl="0">
      <w:start w:val="1"/>
      <w:numFmt w:val="bullet"/>
      <w:lvlText w:val=""/>
      <w:lvlJc w:val="left"/>
      <w:pPr>
        <w:tabs>
          <w:tab w:val="num" w:pos="1260"/>
        </w:tabs>
        <w:ind w:left="1260" w:hanging="360"/>
      </w:pPr>
      <w:rPr>
        <w:rFonts w:ascii="Symbol" w:hAnsi="Symbol" w:hint="default"/>
        <w:sz w:val="20"/>
      </w:rPr>
    </w:lvl>
    <w:lvl w:ilvl="1" w:tentative="1">
      <w:start w:val="1"/>
      <w:numFmt w:val="bullet"/>
      <w:lvlText w:val=""/>
      <w:lvlJc w:val="left"/>
      <w:pPr>
        <w:tabs>
          <w:tab w:val="num" w:pos="1980"/>
        </w:tabs>
        <w:ind w:left="1980" w:hanging="360"/>
      </w:pPr>
      <w:rPr>
        <w:rFonts w:ascii="Symbol" w:hAnsi="Symbol" w:hint="default"/>
        <w:sz w:val="20"/>
      </w:rPr>
    </w:lvl>
    <w:lvl w:ilvl="2" w:tentative="1">
      <w:start w:val="1"/>
      <w:numFmt w:val="bullet"/>
      <w:lvlText w:val=""/>
      <w:lvlJc w:val="left"/>
      <w:pPr>
        <w:tabs>
          <w:tab w:val="num" w:pos="2700"/>
        </w:tabs>
        <w:ind w:left="2700" w:hanging="360"/>
      </w:pPr>
      <w:rPr>
        <w:rFonts w:ascii="Symbol" w:hAnsi="Symbol" w:hint="default"/>
        <w:sz w:val="20"/>
      </w:rPr>
    </w:lvl>
    <w:lvl w:ilvl="3" w:tentative="1">
      <w:start w:val="1"/>
      <w:numFmt w:val="bullet"/>
      <w:lvlText w:val=""/>
      <w:lvlJc w:val="left"/>
      <w:pPr>
        <w:tabs>
          <w:tab w:val="num" w:pos="3420"/>
        </w:tabs>
        <w:ind w:left="3420" w:hanging="360"/>
      </w:pPr>
      <w:rPr>
        <w:rFonts w:ascii="Symbol" w:hAnsi="Symbol" w:hint="default"/>
        <w:sz w:val="20"/>
      </w:rPr>
    </w:lvl>
    <w:lvl w:ilvl="4" w:tentative="1">
      <w:start w:val="1"/>
      <w:numFmt w:val="bullet"/>
      <w:lvlText w:val=""/>
      <w:lvlJc w:val="left"/>
      <w:pPr>
        <w:tabs>
          <w:tab w:val="num" w:pos="4140"/>
        </w:tabs>
        <w:ind w:left="4140" w:hanging="360"/>
      </w:pPr>
      <w:rPr>
        <w:rFonts w:ascii="Symbol" w:hAnsi="Symbol" w:hint="default"/>
        <w:sz w:val="20"/>
      </w:rPr>
    </w:lvl>
    <w:lvl w:ilvl="5" w:tentative="1">
      <w:start w:val="1"/>
      <w:numFmt w:val="bullet"/>
      <w:lvlText w:val=""/>
      <w:lvlJc w:val="left"/>
      <w:pPr>
        <w:tabs>
          <w:tab w:val="num" w:pos="4860"/>
        </w:tabs>
        <w:ind w:left="4860" w:hanging="360"/>
      </w:pPr>
      <w:rPr>
        <w:rFonts w:ascii="Symbol" w:hAnsi="Symbol" w:hint="default"/>
        <w:sz w:val="20"/>
      </w:rPr>
    </w:lvl>
    <w:lvl w:ilvl="6" w:tentative="1">
      <w:start w:val="1"/>
      <w:numFmt w:val="bullet"/>
      <w:lvlText w:val=""/>
      <w:lvlJc w:val="left"/>
      <w:pPr>
        <w:tabs>
          <w:tab w:val="num" w:pos="5580"/>
        </w:tabs>
        <w:ind w:left="5580" w:hanging="360"/>
      </w:pPr>
      <w:rPr>
        <w:rFonts w:ascii="Symbol" w:hAnsi="Symbol" w:hint="default"/>
        <w:sz w:val="20"/>
      </w:rPr>
    </w:lvl>
    <w:lvl w:ilvl="7" w:tentative="1">
      <w:start w:val="1"/>
      <w:numFmt w:val="bullet"/>
      <w:lvlText w:val=""/>
      <w:lvlJc w:val="left"/>
      <w:pPr>
        <w:tabs>
          <w:tab w:val="num" w:pos="6300"/>
        </w:tabs>
        <w:ind w:left="6300" w:hanging="360"/>
      </w:pPr>
      <w:rPr>
        <w:rFonts w:ascii="Symbol" w:hAnsi="Symbol" w:hint="default"/>
        <w:sz w:val="20"/>
      </w:rPr>
    </w:lvl>
    <w:lvl w:ilvl="8" w:tentative="1">
      <w:start w:val="1"/>
      <w:numFmt w:val="bullet"/>
      <w:lvlText w:val=""/>
      <w:lvlJc w:val="left"/>
      <w:pPr>
        <w:tabs>
          <w:tab w:val="num" w:pos="7020"/>
        </w:tabs>
        <w:ind w:left="7020" w:hanging="360"/>
      </w:pPr>
      <w:rPr>
        <w:rFonts w:ascii="Symbol" w:hAnsi="Symbol" w:hint="default"/>
        <w:sz w:val="20"/>
      </w:rPr>
    </w:lvl>
  </w:abstractNum>
  <w:abstractNum w:abstractNumId="12">
    <w:nsid w:val="2BFC1E41"/>
    <w:multiLevelType w:val="hybridMultilevel"/>
    <w:tmpl w:val="17A8D670"/>
    <w:lvl w:ilvl="0" w:tplc="8A9C13CE">
      <w:start w:val="2"/>
      <w:numFmt w:val="upperLetter"/>
      <w:lvlText w:val="%1."/>
      <w:lvlJc w:val="left"/>
      <w:pPr>
        <w:ind w:left="108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E176DB9"/>
    <w:multiLevelType w:val="hybridMultilevel"/>
    <w:tmpl w:val="4836D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481A6F"/>
    <w:multiLevelType w:val="multilevel"/>
    <w:tmpl w:val="E7729A8C"/>
    <w:lvl w:ilvl="0">
      <w:start w:val="1"/>
      <w:numFmt w:val="upperRoman"/>
      <w:lvlText w:val="%1."/>
      <w:lvlJc w:val="left"/>
      <w:pPr>
        <w:ind w:left="720" w:hanging="720"/>
      </w:pPr>
      <w:rPr>
        <w:rFonts w:hint="default"/>
        <w:b/>
      </w:rPr>
    </w:lvl>
    <w:lvl w:ilvl="1">
      <w:start w:val="1"/>
      <w:numFmt w:val="none"/>
      <w:lvlText w:val="A."/>
      <w:lvlJc w:val="left"/>
      <w:pPr>
        <w:ind w:left="720" w:hanging="360"/>
      </w:pPr>
      <w:rPr>
        <w:rFonts w:hint="default"/>
        <w:b/>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nsid w:val="36BA4071"/>
    <w:multiLevelType w:val="hybridMultilevel"/>
    <w:tmpl w:val="D500F1E8"/>
    <w:lvl w:ilvl="0" w:tplc="CFAEE49A">
      <w:start w:val="1"/>
      <w:numFmt w:val="decimal"/>
      <w:lvlText w:val="%1."/>
      <w:lvlJc w:val="left"/>
      <w:pPr>
        <w:ind w:left="720" w:hanging="360"/>
      </w:pPr>
      <w:rPr>
        <w:b w:val="0"/>
      </w:rPr>
    </w:lvl>
    <w:lvl w:ilvl="1" w:tplc="D5E689A0">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ED215A"/>
    <w:multiLevelType w:val="multilevel"/>
    <w:tmpl w:val="049E7014"/>
    <w:lvl w:ilvl="0">
      <w:start w:val="1"/>
      <w:numFmt w:val="upperRoman"/>
      <w:lvlText w:val="%1."/>
      <w:lvlJc w:val="left"/>
      <w:pPr>
        <w:ind w:left="720" w:hanging="72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nsid w:val="39B5020B"/>
    <w:multiLevelType w:val="hybridMultilevel"/>
    <w:tmpl w:val="5C92CE00"/>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B1B27F9"/>
    <w:multiLevelType w:val="multilevel"/>
    <w:tmpl w:val="900A5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C9B4293"/>
    <w:multiLevelType w:val="multilevel"/>
    <w:tmpl w:val="79FAEF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D855F01"/>
    <w:multiLevelType w:val="hybridMultilevel"/>
    <w:tmpl w:val="5892441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373EF0"/>
    <w:multiLevelType w:val="hybridMultilevel"/>
    <w:tmpl w:val="7EDAE822"/>
    <w:lvl w:ilvl="0" w:tplc="77ECFC80">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1DA15B3"/>
    <w:multiLevelType w:val="hybridMultilevel"/>
    <w:tmpl w:val="A5D20FA6"/>
    <w:lvl w:ilvl="0" w:tplc="BFCC698C">
      <w:start w:val="1"/>
      <w:numFmt w:val="decimal"/>
      <w:lvlText w:val="%1."/>
      <w:lvlJc w:val="left"/>
      <w:pPr>
        <w:ind w:left="720" w:hanging="360"/>
      </w:pPr>
      <w:rPr>
        <w:i w:val="0"/>
      </w:rPr>
    </w:lvl>
    <w:lvl w:ilvl="1" w:tplc="04090019">
      <w:start w:val="1"/>
      <w:numFmt w:val="lowerLetter"/>
      <w:lvlText w:val="%2."/>
      <w:lvlJc w:val="left"/>
      <w:pPr>
        <w:ind w:left="1440" w:hanging="360"/>
      </w:pPr>
    </w:lvl>
    <w:lvl w:ilvl="2" w:tplc="47CA68E6">
      <w:start w:val="1"/>
      <w:numFmt w:val="lowerRoman"/>
      <w:lvlText w:val="%3."/>
      <w:lvlJc w:val="right"/>
      <w:pPr>
        <w:ind w:left="630" w:hanging="180"/>
      </w:pPr>
      <w:rPr>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CD78E1"/>
    <w:multiLevelType w:val="hybridMultilevel"/>
    <w:tmpl w:val="CAC2F6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47CA68E6">
      <w:start w:val="1"/>
      <w:numFmt w:val="lowerRoman"/>
      <w:lvlText w:val="%3."/>
      <w:lvlJc w:val="right"/>
      <w:pPr>
        <w:ind w:left="630" w:hanging="180"/>
      </w:pPr>
      <w:rPr>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2C0692"/>
    <w:multiLevelType w:val="hybridMultilevel"/>
    <w:tmpl w:val="E5629392"/>
    <w:lvl w:ilvl="0" w:tplc="A872A246">
      <w:start w:val="2"/>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8650288"/>
    <w:multiLevelType w:val="hybridMultilevel"/>
    <w:tmpl w:val="629A388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94C23BA"/>
    <w:multiLevelType w:val="hybridMultilevel"/>
    <w:tmpl w:val="B5B21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BB4132"/>
    <w:multiLevelType w:val="hybridMultilevel"/>
    <w:tmpl w:val="3E92F28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2E1566"/>
    <w:multiLevelType w:val="hybridMultilevel"/>
    <w:tmpl w:val="48707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88098E"/>
    <w:multiLevelType w:val="hybridMultilevel"/>
    <w:tmpl w:val="999EDBF8"/>
    <w:lvl w:ilvl="0" w:tplc="11CC010C">
      <w:start w:val="1"/>
      <w:numFmt w:val="upperLetter"/>
      <w:lvlText w:val="%1."/>
      <w:lvlJc w:val="left"/>
      <w:pPr>
        <w:ind w:left="72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E9904C3"/>
    <w:multiLevelType w:val="hybridMultilevel"/>
    <w:tmpl w:val="ADCCD6D6"/>
    <w:lvl w:ilvl="0" w:tplc="002CDCD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10F737C"/>
    <w:multiLevelType w:val="hybridMultilevel"/>
    <w:tmpl w:val="C88E6262"/>
    <w:lvl w:ilvl="0" w:tplc="B502C40E">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11A2B65"/>
    <w:multiLevelType w:val="multilevel"/>
    <w:tmpl w:val="D8FE3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70D5584"/>
    <w:multiLevelType w:val="hybridMultilevel"/>
    <w:tmpl w:val="428EA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A0D7782"/>
    <w:multiLevelType w:val="hybridMultilevel"/>
    <w:tmpl w:val="25129840"/>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572886"/>
    <w:multiLevelType w:val="multilevel"/>
    <w:tmpl w:val="ADE24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51357D2"/>
    <w:multiLevelType w:val="hybridMultilevel"/>
    <w:tmpl w:val="99B2CB50"/>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6A35815"/>
    <w:multiLevelType w:val="multilevel"/>
    <w:tmpl w:val="61D8F1FC"/>
    <w:lvl w:ilvl="0">
      <w:start w:val="1"/>
      <w:numFmt w:val="upperRoman"/>
      <w:lvlText w:val="%1."/>
      <w:lvlJc w:val="left"/>
      <w:pPr>
        <w:ind w:left="720" w:hanging="720"/>
      </w:pPr>
      <w:rPr>
        <w:rFonts w:hint="default"/>
      </w:rPr>
    </w:lvl>
    <w:lvl w:ilvl="1">
      <w:start w:val="1"/>
      <w:numFmt w:val="none"/>
      <w:lvlText w:val="A."/>
      <w:lvlJc w:val="left"/>
      <w:pPr>
        <w:ind w:left="1080" w:hanging="720"/>
      </w:pPr>
      <w:rPr>
        <w:rFonts w:hint="default"/>
        <w:b/>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8">
    <w:nsid w:val="68F24E06"/>
    <w:multiLevelType w:val="hybridMultilevel"/>
    <w:tmpl w:val="89AC2870"/>
    <w:lvl w:ilvl="0" w:tplc="BA18D26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C60D2B"/>
    <w:multiLevelType w:val="multilevel"/>
    <w:tmpl w:val="DB528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112216B"/>
    <w:multiLevelType w:val="hybridMultilevel"/>
    <w:tmpl w:val="93EE9352"/>
    <w:lvl w:ilvl="0" w:tplc="1CF2B312">
      <w:start w:val="1"/>
      <w:numFmt w:val="upperLetter"/>
      <w:lvlText w:val="%1."/>
      <w:lvlJc w:val="left"/>
      <w:pPr>
        <w:ind w:left="720" w:hanging="72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DD5F56"/>
    <w:multiLevelType w:val="hybridMultilevel"/>
    <w:tmpl w:val="03B46BB2"/>
    <w:lvl w:ilvl="0" w:tplc="0FE2A83E">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9F745C5"/>
    <w:multiLevelType w:val="hybridMultilevel"/>
    <w:tmpl w:val="D97261F2"/>
    <w:lvl w:ilvl="0" w:tplc="DE3C2828">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8"/>
  </w:num>
  <w:num w:numId="3">
    <w:abstractNumId w:val="7"/>
  </w:num>
  <w:num w:numId="4">
    <w:abstractNumId w:val="2"/>
  </w:num>
  <w:num w:numId="5">
    <w:abstractNumId w:val="36"/>
  </w:num>
  <w:num w:numId="6">
    <w:abstractNumId w:val="11"/>
  </w:num>
  <w:num w:numId="7">
    <w:abstractNumId w:val="35"/>
  </w:num>
  <w:num w:numId="8">
    <w:abstractNumId w:val="19"/>
  </w:num>
  <w:num w:numId="9">
    <w:abstractNumId w:val="39"/>
  </w:num>
  <w:num w:numId="10">
    <w:abstractNumId w:val="5"/>
  </w:num>
  <w:num w:numId="11">
    <w:abstractNumId w:val="38"/>
  </w:num>
  <w:num w:numId="12">
    <w:abstractNumId w:val="13"/>
  </w:num>
  <w:num w:numId="13">
    <w:abstractNumId w:val="4"/>
  </w:num>
  <w:num w:numId="14">
    <w:abstractNumId w:val="15"/>
  </w:num>
  <w:num w:numId="15">
    <w:abstractNumId w:val="28"/>
  </w:num>
  <w:num w:numId="16">
    <w:abstractNumId w:val="23"/>
  </w:num>
  <w:num w:numId="17">
    <w:abstractNumId w:val="26"/>
  </w:num>
  <w:num w:numId="18">
    <w:abstractNumId w:val="22"/>
  </w:num>
  <w:num w:numId="19">
    <w:abstractNumId w:val="33"/>
  </w:num>
  <w:num w:numId="20">
    <w:abstractNumId w:val="17"/>
  </w:num>
  <w:num w:numId="21">
    <w:abstractNumId w:val="21"/>
  </w:num>
  <w:num w:numId="22">
    <w:abstractNumId w:val="9"/>
  </w:num>
  <w:num w:numId="23">
    <w:abstractNumId w:val="25"/>
  </w:num>
  <w:num w:numId="24">
    <w:abstractNumId w:val="1"/>
  </w:num>
  <w:num w:numId="25">
    <w:abstractNumId w:val="16"/>
  </w:num>
  <w:num w:numId="26">
    <w:abstractNumId w:val="20"/>
  </w:num>
  <w:num w:numId="27">
    <w:abstractNumId w:val="37"/>
  </w:num>
  <w:num w:numId="28">
    <w:abstractNumId w:val="34"/>
  </w:num>
  <w:num w:numId="29">
    <w:abstractNumId w:val="30"/>
  </w:num>
  <w:num w:numId="30">
    <w:abstractNumId w:val="3"/>
  </w:num>
  <w:num w:numId="31">
    <w:abstractNumId w:val="8"/>
  </w:num>
  <w:num w:numId="32">
    <w:abstractNumId w:val="14"/>
  </w:num>
  <w:num w:numId="33">
    <w:abstractNumId w:val="10"/>
  </w:num>
  <w:num w:numId="34">
    <w:abstractNumId w:val="24"/>
  </w:num>
  <w:num w:numId="35">
    <w:abstractNumId w:val="27"/>
  </w:num>
  <w:num w:numId="36">
    <w:abstractNumId w:val="12"/>
  </w:num>
  <w:num w:numId="37">
    <w:abstractNumId w:val="6"/>
  </w:num>
  <w:num w:numId="38">
    <w:abstractNumId w:val="29"/>
  </w:num>
  <w:num w:numId="39">
    <w:abstractNumId w:val="32"/>
  </w:num>
  <w:num w:numId="40">
    <w:abstractNumId w:val="31"/>
  </w:num>
  <w:num w:numId="41">
    <w:abstractNumId w:val="41"/>
  </w:num>
  <w:num w:numId="42">
    <w:abstractNumId w:val="42"/>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CITRUS_CORRECTED_CITE" w:val="See Safeco Ins. Co. of Am. v. Burr, 551 U.S. 47 (2007)"/>
    <w:docVar w:name="_CITRUS_JURISDICTION" w:val="Bluebook"/>
    <w:docVar w:name="CITRUS_BOOKMARK1[0]" w:val="&lt;#1&gt;&lt;citation&gt;&lt;citation._original_string&gt;17 U.S.C. S101(1978)&lt;/citation._original_string&gt;&lt;citation._current_string&gt;17 U.S.C.S. § 101&lt;/citation._current_string&gt;&lt;citation._full_string&gt;17 U.S.C.S. §101 (Law. Co-op. 1978)&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S. §101 &lt;/citation.value3&gt;&lt;citation.key4&gt;USCCodeCitation.USCTitleAndCode&lt;/citation.key4&gt;&lt;citation.value4&gt;17 U.S.C.S. &lt;/citation.value4&gt;&lt;citation.key5&gt;USCCodeCitation.USCTitleAndCode.USCS&lt;/citation.key5&gt;&lt;citation.value5&gt;U.S.C.S.&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Law. Co-op. 1978)&lt;/citation.value19&gt;&lt;citation.key20&gt;__AfterStatutoryCite.StatutoryCodeEditionCite&lt;/citation.key20&gt;&lt;citation.value20&gt; (1978)&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1978 &lt;/citation.value23&gt;&lt;citation.key24&gt;__AfterStatutoryCite.StatutoryCodeEditionCite.StatutoryCodeEdition.Publisher&lt;/citation.key24&gt;&lt;citation.value24&gt;Law. Co-op.&lt;/citation.value24&gt;&lt;citation.key25&gt;__AfterStatutoryCite.StatutoryCodeEditionCite.StatutoryCodeEdition.Year&lt;/citation.key25&gt;&lt;citation.value25&gt;1978 &lt;/citation.value25&gt;&lt;citation.key26&gt;__AfterStatutoryCite.StatutoryCodeEditionCite.StatutoryCodeEdition.Year.Year&lt;/citation.key26&gt;&lt;citation.value26&gt;1978&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0[0]" w:val="&lt;#1&gt;&lt;citation&gt;&lt;citation._original_string&gt;Caminetti v. United States, 242 U.S. 470 (1917)&lt;/citation._original_string&gt;&lt;citation._current_string&gt;Caminetti v. United States, 242 U.S. 470 (1917)&lt;/citation._current_string&gt;&lt;citation._full_string&gt;Caminetti v. United States, 242 U.S. 470 (1917)&lt;/citation._full_string&gt;&lt;citation._current_format&gt;Full.CaseCitation&lt;/citation._current_format&gt;&lt;citation.name&gt;&lt;/citation.name&gt;&lt;citation.key0&gt;,&lt;/citation.key0&gt;&lt;citation.value0&gt;,&lt;/citation.value0&gt;&lt;citation.key1&gt;CaseName&lt;/citation.key1&gt;&lt;citation.value1&gt;Caminetti v. United States &lt;/citation.value1&gt;&lt;citation.key2&gt;CaseName.FirstParty&lt;/citation.key2&gt;&lt;citation.value2&gt;Caminetti &lt;/citation.value2&gt;&lt;citation.key3&gt;CaseName.FirstParty.Party&lt;/citation.key3&gt;&lt;citation.value3&gt;Caminetti&lt;/citation.value3&gt;&lt;citation.key4&gt;CaseName.FirstParty._Pattern&lt;/citation.key4&gt;&lt;citation.value4&gt;Party.Party&lt;/citation.value4&gt;&lt;citation.key5&gt;CaseName.SecondParty&lt;/citation.key5&gt;&lt;citation.value5&gt;United States &lt;/citation.value5&gt;&lt;citation.key6&gt;CaseName.SecondParty.Party&lt;/citation.key6&gt;&lt;citation.value6&gt;United States&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17) &lt;/citation.value10&gt;&lt;citation.key11&gt;CourtParenthetical.Date&lt;/citation.key11&gt;&lt;citation.value11&gt;1917 &lt;/citation.value11&gt;&lt;citation.key12&gt;CourtParenthetical.Date.Year&lt;/citation.key12&gt;&lt;citation.value12&gt;1917 &lt;/citation.value12&gt;&lt;citation.key13&gt;CourtParenthetical.Date.Year.Year&lt;/citation.key13&gt;&lt;citation.value13&gt;1917&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Caminetti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242 U.S. 470 &lt;/citation.value30&gt;&lt;citation.key31&gt;Reporter.FirstPage&lt;/citation.key31&gt;&lt;citation.value31&gt;470&lt;/citation.value31&gt;&lt;citation.key32&gt;Reporter.Name&lt;/citation.key32&gt;&lt;citation.value32&gt;U.S.&lt;/citation.value32&gt;&lt;citation.key33&gt;Reporter.Volume&lt;/citation.key33&gt;&lt;citation.value33&gt;242&lt;/citation.value33&gt;&lt;citation.key34&gt;Reporter.[&lt;/citation.key34&gt;&lt;citation.value34&gt;[&lt;/citation.value34&gt;&lt;citation.key35&gt;Reporter.]&lt;/citation.key35&gt;&lt;citation.value35&gt;]&lt;/citation.value35&gt;&lt;citation.key36&gt;Reporter._Pattern&lt;/citation.key36&gt;&lt;citation.value36&gt;ShortReporter.ShortReporter&lt;/citation.value36&gt;&lt;citation.key37&gt;Reporter.page&lt;/citation.key37&gt;&lt;citation.value37&gt;page&lt;/citation.value37&gt;&lt;citation.key38&gt;RequiredComma&lt;/citation.key38&gt;&lt;citation.value38&gt;, &lt;/citation.value38&gt;&lt;citation.key39&gt;RequiredComma.Comma&lt;/citation.key39&gt;&lt;citation.value39&gt;,&lt;/citation.value39&gt;&lt;citation.key40&gt;RequiredComma._Pattern&lt;/citation.key40&gt;&lt;citation.value40&gt;RequiredComma.RequiredComma&lt;/citation.value40&gt;&lt;citation.key41&gt;SecondParty&lt;/citation.key41&gt;&lt;citation.value41&gt;United States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100[0]" w:val="&lt;#1&gt;&lt;citation&gt;&lt;citation._original_string&gt;Zuni Pub. Sch. Dist. No. 89 v. Dep't of Educ., 550 U.S. 81&lt;/citation._original_string&gt;&lt;citation._current_string&gt;Zuni Pub. Sch. Dist. No. 89 v. Dep't of Educ., 550 U.S. 81 (2007)&lt;/citation._current_string&gt;&lt;citation._full_string&gt;Zuni Pub. Sch. Dist. No. 89 v. Dep't of Educ., 550 U.S. 81 (2007)&lt;/citation._full_string&gt;&lt;citation._current_format&gt;Full.CaseCitation&lt;/citation._current_format&gt;&lt;citation.name&gt;&lt;/citation.name&gt;&lt;citation.key0&gt;,&lt;/citation.key0&gt;&lt;citation.value0&gt;,&lt;/citation.value0&gt;&lt;citation.key1&gt;CaseName.FirstParty.Party&lt;/citation.key1&gt;&lt;citation.value1&gt;Zuni Public School District No. 89&lt;/citation.value1&gt;&lt;citation.key2&gt;CaseName.FirstParty._Pattern&lt;/citation.key2&gt;&lt;citation.value2&gt;Party.Party&lt;/citation.value2&gt;&lt;citation.key3&gt;CaseName.SecondParty.Party&lt;/citation.key3&gt;&lt;citation.value3&gt;Department of Education&lt;/citation.value3&gt;&lt;citation.key4&gt;CaseName.SecondParty._Pattern&lt;/citation.key4&gt;&lt;citation.value4&gt;Party.Party&lt;/citation.value4&gt;&lt;citation.key5&gt;CourtParenthetical&lt;/citation.key5&gt;&lt;citation.value5&gt; (2007) &lt;/citation.value5&gt;&lt;citation.key6&gt;CourtParenthetical.Date.Year.Year&lt;/citation.key6&gt;&lt;citation.value6&gt;2007&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_Pattern&lt;/citation.key9&gt;&lt;citation.value9&gt;CourtParenthetical.CourtParenthetical&lt;/citation.value9&gt;&lt;citation.key10&gt;FirstParty&lt;/citation.key10&gt;&lt;citation.value10&gt;Zuni Pub. Sch. Dist. No. 89 &lt;/citation.value10&gt;&lt;citation.key11&gt;Id&lt;/citation.key11&gt;&lt;citation.value11&gt;Id. &lt;/citation.value11&gt;&lt;citation.key12&gt;Id.Id&lt;/citation.key12&gt;&lt;citation.value12&gt;Id.&lt;/citation.value12&gt;&lt;citation.key13&gt;Id._Pattern&lt;/citation.key13&gt;&lt;citation.value13&gt;IdGraph.IdGraph&lt;/citation.value13&gt;&lt;citation.key14&gt;NY L Paren&lt;/citation.key14&gt;&lt;citation.value14&gt;(&lt;/citation.value14&gt;&lt;citation.key15&gt;NY R Paren&lt;/citation.key15&gt;&lt;citation.value15&gt;)&lt;/citation.value15&gt;&lt;citation.key16&gt;Reporter&lt;/citation.key16&gt;&lt;citation.value16&gt;550 U.S. 81 &lt;/citation.value16&gt;&lt;citation.key17&gt;Reporter.FirstPage&lt;/citation.key17&gt;&lt;citation.value17&gt;81&lt;/citation.value17&gt;&lt;citation.key18&gt;Reporter.Name&lt;/citation.key18&gt;&lt;citation.value18&gt;U.S.&lt;/citation.value18&gt;&lt;citation.key19&gt;Reporter.Volume&lt;/citation.key19&gt;&lt;citation.value19&gt;550&lt;/citation.value19&gt;&lt;citation.key20&gt;Reporter.[&lt;/citation.key20&gt;&lt;citation.value20&gt;[&lt;/citation.value20&gt;&lt;citation.key21&gt;Reporter.]&lt;/citation.key21&gt;&lt;citation.value21&gt;]&lt;/citation.value21&gt;&lt;citation.key22&gt;Reporter._Pattern&lt;/citation.key22&gt;&lt;citation.value22&gt;Reporter.Reporter&lt;/citation.value22&gt;&lt;citation.key23&gt;Reporter.page&lt;/citation.key23&gt;&lt;citation.value23&gt;page&lt;/citation.value23&gt;&lt;citation.key24&gt;RequiredComma&lt;/citation.key24&gt;&lt;citation.value24&gt;, &lt;/citation.value24&gt;&lt;citation.key25&gt;RequiredComma._Pattern&lt;/citation.key25&gt;&lt;citation.value25&gt;RequiredComma.RequiredComma&lt;/citation.value25&gt;&lt;citation.key26&gt;SecondParty&lt;/citation.key26&gt;&lt;citation.value26&gt;Dep't of Educ. &lt;/citation.value26&gt;&lt;citation.key27&gt;supra&lt;/citation.key27&gt;&lt;citation.value27&gt;&lt;/citation.value27&gt;&lt;citation.key28&gt;supra.,&lt;/citation.key28&gt;&lt;citation.value28&gt;, &lt;/citation.value28&gt;&lt;citation.key29&gt;supra._Pattern&lt;/citation.key29&gt;&lt;citation.value29&gt;ShortCaseSupra.ShortCaseSupra&lt;/citation.value29&gt;&lt;citation.key30&gt;supra.supra&lt;/citation.key30&gt;&lt;citation.value30&gt;supra&lt;/citation.value30&gt;&lt;citation.key31&gt;v&lt;/citation.key31&gt;&lt;citation.value31&gt;v.&lt;/citation.value31&gt;&lt;/citation&gt;_x000a_"/>
    <w:docVar w:name="CITRUS_BOOKMARK1000000012[0]" w:val="449 US 424, 430 (1981)"/>
    <w:docVar w:name="CITRUS_BOOKMARK1000000013[0]" w:val="Schiller &amp; Schmidt v. Nordisco Corp., 969 F.2d 410, 412 (7th Cir. Ill. 1992)"/>
    <w:docVar w:name="CITRUS_BOOKMARK1000000016[0]" w:val="379 F. Supp. 859, 666 So. 2d 898 (Is it OK that the cases my stat int book cited are not US Supreme Ct?)"/>
    <w:docVar w:name="CITRUS_BOOKMARK1000000020[0]" w:val="Schiller &amp; Schmidt v. Nordisco Corp., 969 F.2d 410, 412 (7th Cir. Ill. 1992)"/>
    <w:docVar w:name="CITRUS_BOOKMARK1000000021[0]" w:val="53 F. 3d 549"/>
    <w:docVar w:name="CITRUS_BOOKMARK1000000025[0]" w:val="980 F.2d 857"/>
    <w:docVar w:name="CITRUS_BOOKMARK1000000026[0]" w:val="237 F.3d 111"/>
    <w:docVar w:name="CITRUS_BOOKMARK1000000027[0]" w:val="945 F.2d 500"/>
    <w:docVar w:name="CITRUS_BOOKMARK1000000029[0]" w:val="OGS and Lime.  Armento v. Laser Image, 950 F. Supp. 719"/>
    <w:docVar w:name="CITRUS_BOOKMARK1000000032[0]" w:val="379 F. Supp. 859, 666 So. 2d 898 (Is it OK that the cases my stat int book cited are not US Supreme Ct?)"/>
    <w:docVar w:name="CITRUS_BOOKMARK1000000034[0]" w:val="Schiller &amp; Schmidt v. Nordisco Corp., 969 F.2d 410, 412 (7th Cir. Ill. 1992)"/>
    <w:docVar w:name="CITRUS_BOOKMARK1000000035[0]" w:val="Schiller &amp; Schmidt v. Nordisco Corp., 969 F.2d 410, 412 (7th Cir. Ill. 1992)"/>
    <w:docVar w:name="CITRUS_BOOKMARK1000000039[0]" w:val="17 U.S.C. § 101(2)"/>
    <w:docVar w:name="CITRUS_BOOKMARK1000000040[0]" w:val="17 U.S.C § 101(2)"/>
    <w:docVar w:name="CITRUS_BOOKMARK1000000041[0]" w:val="Id. ¶ 9"/>
    <w:docVar w:name="CITRUS_BOOKMARK1000000042[0]" w:val="Id. ¶¶ 10, 12"/>
    <w:docVar w:name="CITRUS_BOOKMARK1000000043[0]" w:val="Id. ¶¶ 13, 15"/>
    <w:docVar w:name="CITRUS_BOOKMARK1000000044[0]" w:val="Id. ¶ 16"/>
    <w:docVar w:name="CITRUS_BOOKMARK1000000045[0]" w:val="Id. ¶ 16"/>
    <w:docVar w:name="CITRUS_BOOKMARK1000000046[0]" w:val="Id. ¶ 20).  No"/>
    <w:docVar w:name="CITRUS_BOOKMARK1000000047[0]" w:val="Id. ¶ 22"/>
    <w:docVar w:name="CITRUS_BOOKMARK1000000048[0]" w:val="Id. ¶¶ 24, 16, 17"/>
    <w:docVar w:name="CITRUS_BOOKMARK1000000049[0]" w:val="Id. ¶ 24"/>
    <w:docVar w:name="CITRUS_BOOKMARK1000000050[0]" w:val="Id. ¶¶ 24, 25"/>
    <w:docVar w:name="CITRUS_BOOKMARK1000000051[0]" w:val="Id. ¶ 26"/>
    <w:docVar w:name="CITRUS_BOOKMARK1000000052[0]" w:val="Id. ¶¶ 28, 29"/>
    <w:docVar w:name="CITRUS_BOOKMARK1000000053[0]" w:val="Id. ¶ 31"/>
    <w:docVar w:name="CITRUS_BOOKMARK1000000054[0]" w:val="Id.  ¶¶ 32, 33"/>
    <w:docVar w:name="CITRUS_BOOKMARK1000000055[0]" w:val="17 U.S.C. §101. (Answer ¶ 3)"/>
    <w:docVar w:name="CITRUS_BOOKMARK1000000056[0]" w:val="Id. ¶ 4"/>
    <w:docVar w:name="CITRUS_BOOKMARK1000000057[0]" w:val="17 U.S.C § 101(2)"/>
    <w:docVar w:name="CITRUS_BOOKMARK1000000058[0]" w:val="Schiller &amp; Schmidt v. Nordisco Corp., 969 F.2d 410, 412 (7th Cir. Ill. 1992)"/>
    <w:docVar w:name="CITRUS_BOOKMARK1000000060[0]" w:val="Schiller &amp; Schmidt v. Nordisco Corp., 969 F.2d 410, 412 (7th Cir. Ill. 1992)"/>
    <w:docVar w:name="CITRUS_BOOKMARK1000000062[0]" w:val="Schiller &amp; Schmidt v. Nordisco Corp., 969 F.2d 410, 412 (7th Cir. Ill. 1992)"/>
    <w:docVar w:name="CITRUS_BOOKMARK1000000064[0]" w:val="17 U.S.C. § 101(2)"/>
    <w:docVar w:name="CITRUS_BOOKMARK1000000065[0]" w:val="Id. ¶ 22"/>
    <w:docVar w:name="CITRUS_BOOKMARK1000000066[0]" w:val="Id. ¶ 9"/>
    <w:docVar w:name="CITRUS_BOOKMARK1000000067[0]" w:val="Id. ¶¶ 10, 12"/>
    <w:docVar w:name="CITRUS_BOOKMARK1000000068[0]" w:val="17 U.S.C § 101(2)"/>
    <w:docVar w:name="CITRUS_BOOKMARK1000000069[0]" w:val="17 U.S.C § 101(2)"/>
    <w:docVar w:name="CITRUS_BOOKMARK1000000072[0]" w:val="980 F.2d 857"/>
    <w:docVar w:name="CITRUS_BOOKMARK1000000073[0]" w:val="237 F.3d 111"/>
    <w:docVar w:name="CITRUS_BOOKMARK1000000074[0]" w:val="945 F.2d 500"/>
    <w:docVar w:name="CITRUS_BOOKMARK1000000076[0]" w:val="17 U.S.C. § 101"/>
    <w:docVar w:name="CITRUS_BOOKMARK1000000077[0]" w:val="17 U.S.C. § 101"/>
    <w:docVar w:name="CITRUS_BOOKMARK1000000079[0]" w:val="17 U.S.C § 101(2)"/>
    <w:docVar w:name="CITRUS_BOOKMARK1000000080[0]" w:val="17 U.S.C § 101(2)"/>
    <w:docVar w:name="CITRUS_BOOKMARK1000000081[0]" w:val="17 U.S.C § 101(2)"/>
    <w:docVar w:name="CITRUS_BOOKMARK1000000084[0]" w:val="17 U.S.C § 101(2)"/>
    <w:docVar w:name="CITRUS_BOOKMARK1000000088[0]" w:val="17 U.S.C § 101(2)"/>
    <w:docVar w:name="CITRUS_BOOKMARK1000000092[0]" w:val="17 U.S.C. § 101"/>
    <w:docVar w:name="CITRUS_BOOKMARK1000000093[0]" w:val="17 U.S.C. § 101(2)"/>
    <w:docVar w:name="CITRUS_BOOKMARK1000000094[0]" w:val="17 U.S.C. § 102(a)(1-9)"/>
    <w:docVar w:name="CITRUS_BOOKMARK1000000097[0]" w:val="Dictionary (2012)"/>
    <w:docVar w:name="CITRUS_BOOKMARK1000000098[0]" w:val="17 U.S.C. § 101"/>
    <w:docVar w:name="CITRUS_BOOKMARK1000000101[0]" w:val="Copyright Act of 1976.  Gonzales v. Oregon, 546 U.S. 243, 257-58, (2006)"/>
    <w:docVar w:name="CITRUS_BOOKMARK1000000106[0]" w:val="General Revision of the U.S. Copyright Law, 94"/>
    <w:docVar w:name="CITRUS_BOOKMARK1000000114[0]" w:val="General Revision of the U.S. Copyright Law, 89"/>
    <w:docVar w:name="CITRUS_BOOKMARK1000000117[0]" w:val="General Revision of the U.S. Copyright Law, 94"/>
    <w:docVar w:name="CITRUS_BOOKMARK1000000118[0]" w:val="17 U.S.C. § 506"/>
    <w:docVar w:name="CITRUS_BOOKMARK1000000124[0]" w:val="Id. at 560"/>
    <w:docVar w:name="CITRUS_BOOKMARK1000000128[0]" w:val="Id. ¶¶ 24, 25"/>
    <w:docVar w:name="CITRUS_BOOKMARK1000000129[0]" w:val="Id. ¶ 9"/>
    <w:docVar w:name="CITRUS_BOOKMARK1000000130[0]" w:val="Id. ¶ 16"/>
    <w:docVar w:name="CITRUS_BOOKMARK1000000132[0]" w:val="General Revision of the U.S. Copyright Law, 89"/>
    <w:docVar w:name="CITRUS_BOOKMARK1000000133[0]" w:val="General Revision of the U.S. Copyright Law, 94"/>
    <w:docVar w:name="CITRUS_BOOKMARK1000000135[0]" w:val="17 U.S.C. § 101"/>
    <w:docVar w:name="CITRUS_BOOKMARK1000000136[0]" w:val="17 U.S.C § 101(2)"/>
    <w:docVar w:name="CITRUS_BOOKMARK1000000138[0]" w:val="17 U.S.C § 101(2)"/>
    <w:docVar w:name="CITRUS_BOOKMARK1000000139[0]" w:val="17 U.S.C § 101(2)"/>
    <w:docVar w:name="CITRUS_BOOKMARK1000000141[0]" w:val="17 U.S.C § 101(2)"/>
    <w:docVar w:name="CITRUS_BOOKMARK1000000142[0]" w:val="17 U.S.C § 101(2)"/>
    <w:docVar w:name="CITRUS_BOOKMARK1000000143[0]" w:val="17 U.S.C § 101(2)"/>
    <w:docVar w:name="CITRUS_BOOKMARK1000000144[0]" w:val="17 U.S.C § 101(2)"/>
    <w:docVar w:name="CITRUS_BOOKMARK1000000145[0]" w:val="17 U.S.C § 101(2)"/>
    <w:docVar w:name="CITRUS_BOOKMARK1000000146[0]" w:val="17 U.S.C § 101(2)"/>
    <w:docVar w:name="CITRUS_BOOKMARK1000000147[0]" w:val="17 U.S.C § 101(2)"/>
    <w:docVar w:name="CITRUS_BOOKMARK1000000148[0]" w:val="17 U.S.C. § 101(2)"/>
    <w:docVar w:name="CITRUS_BOOKMARK1000000149[0]" w:val="17 U.S.C § 101(2)"/>
    <w:docVar w:name="CITRUS_BOOKMARK1000000150[0]" w:val="17 U.S.C § 101(2)"/>
    <w:docVar w:name="CITRUS_BOOKMARK1000000151[0]" w:val="General Revision of the U.S. Copyright Law, 94"/>
    <w:docVar w:name="CITRUS_BOOKMARK1000000152[0]" w:val="17 U.S.C § 101(2)"/>
    <w:docVar w:name="CITRUS_BOOKMARK1000000153[0]" w:val="17 U.S.C § 101(2)"/>
    <w:docVar w:name="CITRUS_BOOKMARK1000000154[0]" w:val="17 U.S.C § 101(2)"/>
    <w:docVar w:name="CITRUS_BOOKMARK1000000155[0]" w:val="17 U.S.C § 10"/>
    <w:docVar w:name="CITRUS_BOOKMARK1000000156[0]" w:val="17 U.S.C § 101(2)"/>
    <w:docVar w:name="CITRUS_BOOKMARK1000000158[0]" w:val="17 U.S.C §"/>
    <w:docVar w:name="CITRUS_BOOKMARK1000000159[0]" w:val="17 U.S.C. § "/>
    <w:docVar w:name="CITRUS_BOOKMARK1000000160[0]" w:val="17 U.S.C. § "/>
    <w:docVar w:name="CITRUS_BOOKMARK1000000161[0]" w:val="17 U.S.C. § "/>
    <w:docVar w:name="CITRUS_BOOKMARK1000000162[0]" w:val="17 U.S.C. § "/>
    <w:docVar w:name="CITRUS_BOOKMARK1000000163[0]" w:val="17 U.S.C. § 102(a)(1-9)"/>
    <w:docVar w:name="CITRUS_BOOKMARK1000000164[0]" w:val="17 U.S.C. § "/>
    <w:docVar w:name="CITRUS_BOOKMARK1000000165[0]" w:val="17 U.S.C. § "/>
    <w:docVar w:name="CITRUS_BOOKMARK1000000166[0]" w:val="17 U.S.C. § "/>
    <w:docVar w:name="CITRUS_BOOKMARK1000000167[0]" w:val="17 U.S.C. § "/>
    <w:docVar w:name="CITRUS_BOOKMARK1000000168[0]" w:val="17 U.S.C. § "/>
    <w:docVar w:name="CITRUS_BOOKMARK1000000169[0]" w:val="17 U.S.C. § "/>
    <w:docVar w:name="CITRUS_BOOKMARK1000000171[0]" w:val="17 U.S.C. § "/>
    <w:docVar w:name="CITRUS_BOOKMARK1000000172[0]" w:val="Id. ¶ 9"/>
    <w:docVar w:name="CITRUS_BOOKMARK1000000173[0]" w:val="Id. ¶¶ 10, 12"/>
    <w:docVar w:name="CITRUS_BOOKMARK1000000174[0]" w:val="Id. ¶¶ 13, 15"/>
    <w:docVar w:name="CITRUS_BOOKMARK1000000175[0]" w:val="Id. ¶ 16"/>
    <w:docVar w:name="CITRUS_BOOKMARK1000000176[0]" w:val="Id.).  No"/>
    <w:docVar w:name="CITRUS_BOOKMARK1000000177[0]" w:val="Id. ¶ 22"/>
    <w:docVar w:name="CITRUS_BOOKMARK1000000178[0]" w:val="Id. ¶¶ 16, 17, 24"/>
    <w:docVar w:name="CITRUS_BOOKMARK1000000179[0]" w:val="Id. ¶ 24"/>
    <w:docVar w:name="CITRUS_BOOKMARK1000000180[0]" w:val="Id. ¶¶ 24, 25"/>
    <w:docVar w:name="CITRUS_BOOKMARK1000000181[0]" w:val="Id. ¶ 26"/>
    <w:docVar w:name="CITRUS_BOOKMARK1000000182[0]" w:val="Id"/>
    <w:docVar w:name="CITRUS_BOOKMARK1000000183[0]" w:val="Id. ¶¶ 28, 29"/>
    <w:docVar w:name="CITRUS_BOOKMARK1000000184[0]" w:val="Id. ¶ 31"/>
    <w:docVar w:name="CITRUS_BOOKMARK1000000185[0]" w:val="Id. ¶¶ 32, 33"/>
    <w:docVar w:name="CITRUS_BOOKMARK1000000186[0]" w:val="Id. ¶ 4"/>
    <w:docVar w:name="CITRUS_BOOKMARK1000000187[0]" w:val="see also Bilski v. Kappos, 130 U.S. 3218, 3226 (2010)"/>
    <w:docVar w:name="CITRUS_BOOKMARK1000000189[0]" w:val="TRW Inc., 534 U.S. at 31"/>
    <w:docVar w:name="CITRUS_BOOKMARK102[0]" w:val="&lt;#1&gt;&lt;citation&gt;&lt;citation._original_string&gt;Powerex Corp. v. Reliant Energy Servs., Inc., 127 S.Ct. 2201 (2007)&lt;/citation._original_string&gt;&lt;citation._current_string&gt;Safeco Ins. Co. of Am. v. Burr, 127 S. Ct. 2201 (2007)&lt;/citation._current_string&gt;&lt;citation._full_string&gt;Safeco Ins. Co. of Am. v. Burr, 127 S. Ct. 2201 (2007)&lt;/citation._full_string&gt;&lt;citation._current_format&gt;Full.CaseCitation&lt;/citation._current_format&gt;&lt;citation.name&gt;&lt;/citation.name&gt;&lt;citation.key0&gt;,&lt;/citation.key0&gt;&lt;citation.value0&gt;,&lt;/citation.value0&gt;&lt;citation.key1&gt;CaseName.FirstParty&lt;/citation.key1&gt;&lt;citation.value1&gt;Safeco Ins. Co. of Am.&lt;/citation.value1&gt;&lt;citation.key2&gt;CaseName.FirstParty.Party&lt;/citation.key2&gt;&lt;citation.value2&gt;Safeco Ins. Co. of Am.&lt;/citation.value2&gt;&lt;citation.key3&gt;CaseName.FirstParty._Pattern&lt;/citation.key3&gt;&lt;citation.value3&gt;Party.Party&lt;/citation.value3&gt;&lt;citation.key4&gt;CaseName.SecondParty&lt;/citation.key4&gt;&lt;citation.value4&gt;Burr&lt;/citation.value4&gt;&lt;citation.key5&gt;CaseName.SecondParty.Party&lt;/citation.key5&gt;&lt;citation.value5&gt;Burr&lt;/citation.value5&gt;&lt;citation.key6&gt;CaseName.SecondParty._Pattern&lt;/citation.key6&gt;&lt;citation.value6&gt;Party.Party&lt;/citation.value6&gt;&lt;citation.key7&gt;CaseName._Pattern&lt;/citation.key7&gt;&lt;citation.value7&gt;&lt;/citation.value7&gt;&lt;citation.key8&gt;CourtParenthetical&lt;/citation.key8&gt;&lt;citation.value8&gt; (2007) &lt;/citation.value8&gt;&lt;citation.key9&gt;CourtParenthetical.Date.Year&lt;/citation.key9&gt;&lt;citation.value9&gt;2007&lt;/citation.value9&gt;&lt;citation.key10&gt;CourtParenthetical.Date.Year.Year&lt;/citation.key10&gt;&lt;citation.value10&gt;2007&lt;/citation.value10&gt;&lt;citation.key11&gt;CourtParenthetical.Date.Year._Pattern&lt;/citation.key11&gt;&lt;citation.value11&gt;CourtParenthetical.Date.Year.Year&lt;/citation.value11&gt;&lt;citation.key12&gt;CourtParenthetical.Date._Pattern&lt;/citation.key12&gt;&lt;citation.value12&gt;CourtParenthetical.Date.Date&lt;/citation.value12&gt;&lt;citation.key13&gt;CourtParenthetical.ForbiddenComma._Pattern&lt;/citation.key13&gt;&lt;citation.value13&gt;ForbiddenComma.ForbiddenComma&lt;/citation.value13&gt;&lt;citation.key14&gt;CourtParenthetical.Switch ( [ L&lt;/citation.key14&gt;&lt;citation.value14&gt; (&lt;/citation.value14&gt;&lt;citation.key15&gt;CourtParenthetical.Switch ( [ L.(&lt;/citation.key15&gt;&lt;citation.value15&gt;(&lt;/citation.value15&gt;&lt;citation.key16&gt;CourtParenthetical.Switch ( [ L._Pattern&lt;/citation.key16&gt;&lt;citation.value16&gt;Switch ( [ L.Switch ( [ L&lt;/citation.value16&gt;&lt;citation.key17&gt;CourtParenthetical.Switch ) ] R&lt;/citation.key17&gt;&lt;citation.value17&gt;) &lt;/citation.value17&gt;&lt;citation.key18&gt;CourtParenthetical.Switch ) ] R.)&lt;/citation.key18&gt;&lt;citation.value18&gt;)&lt;/citation.value18&gt;&lt;citation.key19&gt;CourtParenthetical.Switch ) ] R._Pattern&lt;/citation.key19&gt;&lt;citation.value19&gt;Switch ) ] R.Switch ) ] R&lt;/citation.value19&gt;&lt;citation.key20&gt;CourtParenthetical._Pattern&lt;/citation.key20&gt;&lt;citation.value20&gt;CourtParenthetical.CourtParenthetical&lt;/citation.value20&gt;&lt;citation.key21&gt;HAS_AUTHORITATIVE_DATA&lt;/citation.key21&gt;&lt;citation.value21&gt;YES&lt;/citation.value21&gt;&lt;citation.key22&gt;Id&lt;/citation.key22&gt;&lt;citation.value22&gt;Id. &lt;/citation.value22&gt;&lt;citation.key23&gt;Id.Id&lt;/citation.key23&gt;&lt;citation.value23&gt;Id.&lt;/citation.value23&gt;&lt;citation.key24&gt;Id._Pattern&lt;/citation.key24&gt;&lt;citation.value24&gt;IdGraph.IdGraph&lt;/citation.value24&gt;&lt;citation.key25&gt;NY L Paren&lt;/citation.key25&gt;&lt;citation.value25&gt;(&lt;/citation.value25&gt;&lt;citation.key26&gt;NY R Paren&lt;/citation.key26&gt;&lt;citation.value26&gt;)&lt;/citation.value26&gt;&lt;citation.key27&gt;Reporter&lt;/citation.key27&gt;&lt;citation.value27&gt;127 S. Ct. 2201 &lt;/citation.value27&gt;&lt;citation.key28&gt;Reporter.FirstPage&lt;/citation.key28&gt;&lt;citation.value28&gt;2201&lt;/citation.value28&gt;&lt;citation.key29&gt;Reporter.Name&lt;/citation.key29&gt;&lt;citation.value29&gt;S. Ct.&lt;/citation.value29&gt;&lt;citation.key30&gt;Reporter.Volume&lt;/citation.key30&gt;&lt;citation.value30&gt;127&lt;/citation.value30&gt;&lt;citation.key31&gt;Reporter.[&lt;/citation.key31&gt;&lt;citation.value31&gt;[&lt;/citation.value31&gt;&lt;citation.key32&gt;Reporter.]&lt;/citation.key32&gt;&lt;citation.value32&gt;]&lt;/citation.value32&gt;&lt;citation.key33&gt;Reporter._Pattern&lt;/citation.key33&gt;&lt;citation.value33&gt;Reporter.Reporter&lt;/citation.value33&gt;&lt;citation.key34&gt;Reporter.page&lt;/citation.key34&gt;&lt;citation.value34&gt;page&lt;/citation.value34&gt;&lt;citation.key35&gt;RequiredComma&lt;/citation.key35&gt;&lt;citation.value35&gt;, &lt;/citation.value35&gt;&lt;citation.key36&gt;RequiredComma._Pattern&lt;/citation.key36&gt;&lt;citation.value36&gt;RequiredComma.RequiredComma&lt;/citation.value36&gt;&lt;citation.key37&gt;supra&lt;/citation.key37&gt;&lt;citation.value37&gt;&lt;/citation.value37&gt;&lt;citation.key38&gt;supra.,&lt;/citation.key38&gt;&lt;citation.value38&gt;, &lt;/citation.value38&gt;&lt;citation.key39&gt;supra._Pattern&lt;/citation.key39&gt;&lt;citation.value39&gt;ShortCaseSupra.ShortCaseSupra&lt;/citation.value39&gt;&lt;citation.key40&gt;supra.supra&lt;/citation.key40&gt;&lt;citation.value40&gt;supra&lt;/citation.value40&gt;&lt;/citation&gt;_x000a_"/>
    <w:docVar w:name="CITRUS_BOOKMARK103[0]" w:val="&lt;#1&gt;&lt;citation&gt;&lt;citation._original_string&gt;See Arlington Cent. Sch. Dist. Bd. of Educ. v. Murphy, 548 U.S. 291, 295&lt;/citation._original_string&gt;&lt;citation._current_string&gt;aee Arlington Cent. Sch. Dist. Bd. of Educ. v. Murphy, 548 U.S. 291, 295 (2006)&lt;/citation._current_string&gt;&lt;citation._full_string&gt;see Arlington Cent. Sch. Dist. Bd. of Educ. v. Murphy, 548 U.S. 291, 295 (2006)&lt;/citation._full_string&gt;&lt;citation._current_format&gt;Full.CaseCitation&lt;/citation._current_format&gt;&lt;citation.name&gt;&lt;/citation.name&gt;&lt;citation.key0&gt;,&lt;/citation.key0&gt;&lt;citation.value0&gt;,&lt;/citation.value0&gt;&lt;citation.key1&gt;CaseName.FirstParty.Party&lt;/citation.key1&gt;&lt;citation.value1&gt;Arlington Central School District Board of Education&lt;/citation.value1&gt;&lt;citation.key2&gt;CaseName.FirstParty._Pattern&lt;/citation.key2&gt;&lt;citation.value2&gt;Party.Party&lt;/citation.value2&gt;&lt;citation.key3&gt;CaseName.SecondParty.Party&lt;/citation.key3&gt;&lt;citation.value3&gt;Murphy&lt;/citation.value3&gt;&lt;citation.key4&gt;CaseName.SecondParty._Pattern&lt;/citation.key4&gt;&lt;citation.value4&gt;Party.Party&lt;/citation.value4&gt;&lt;citation.key5&gt;CourtParenthetical&lt;/citation.key5&gt;&lt;citation.value5&gt; (2006) &lt;/citation.value5&gt;&lt;citation.key6&gt;CourtParenthetical.Date.Year.Year&lt;/citation.key6&gt;&lt;citation.value6&gt;2006&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_Pattern&lt;/citation.key9&gt;&lt;citation.value9&gt;CourtParenthetical.CourtParenthetical&lt;/citation.value9&gt;&lt;citation.key10&gt;FirstParty&lt;/citation.key10&gt;&lt;citation.value10&gt;Arlington Cent. Sch. Dist. Bd. of Educ. &lt;/citation.value10&gt;&lt;citation.key11&gt;Id&lt;/citation.key11&gt;&lt;citation.value11&gt;Id. &lt;/citation.value11&gt;&lt;citation.key12&gt;Id.Id&lt;/citation.key12&gt;&lt;citation.value12&gt;Id.&lt;/citation.value12&gt;&lt;citation.key13&gt;Id._Pattern&lt;/citation.key13&gt;&lt;citation.value13&gt;IdGraph.IdGraph&lt;/citation.value13&gt;&lt;citation.key14&gt;NY L Paren&lt;/citation.key14&gt;&lt;citation.value14&gt;(&lt;/citation.value14&gt;&lt;citation.key15&gt;NY R Paren&lt;/citation.key15&gt;&lt;citation.value15&gt;)&lt;/citation.value15&gt;&lt;citation.key16&gt;Reporter&lt;/citation.key16&gt;&lt;citation.value16&gt;548 U.S. 291, 295&lt;/citation.value16&gt;&lt;citation.key17&gt;Reporter.FirstPage&lt;/citation.key17&gt;&lt;citation.value17&gt;291&lt;/citation.value17&gt;&lt;citation.key18&gt;Reporter.Name&lt;/citation.key18&gt;&lt;citation.value18&gt;U.S.&lt;/citation.value18&gt;&lt;citation.key19&gt;Reporter.RequiredComma&lt;/citation.key19&gt;&lt;citation.value19&gt;, &lt;/citation.value19&gt;&lt;citation.key20&gt;Reporter.RequiredComma.Comma&lt;/citation.key20&gt;&lt;citation.value20&gt;,&lt;/citation.value20&gt;&lt;citation.key21&gt;Reporter.RequiredComma._Pattern&lt;/citation.key21&gt;&lt;citation.value21&gt;RequiredComma.RequiredComma&lt;/citation.value21&gt;&lt;citation.key22&gt;Reporter.Volume&lt;/citation.key22&gt;&lt;citation.value22&gt;548&lt;/citation.value22&gt;&lt;citation.key23&gt;Reporter.[&lt;/citation.key23&gt;&lt;citation.value23&gt;[&lt;/citation.value23&gt;&lt;citation.key24&gt;Reporter.]&lt;/citation.key24&gt;&lt;citation.value24&gt;]&lt;/citation.value24&gt;&lt;citation.key25&gt;Reporter._Pattern&lt;/citation.key25&gt;&lt;citation.value25&gt;Reporter.Reporter&lt;/citation.value25&gt;&lt;citation.key26&gt;Reporter.__PinPages&lt;/citation.key26&gt;&lt;citation.value26&gt;295&lt;/citation.value26&gt;&lt;citation.key27&gt;Reporter.__PinPages.First&lt;/citation.key27&gt;&lt;citation.value27&gt;295&lt;/citation.value27&gt;&lt;citation.key28&gt;Reporter.__PinPages.First._Pattern&lt;/citation.key28&gt;&lt;citation.value28&gt;FirstPageInRange.FirstPageInRange&lt;/citation.value28&gt;&lt;citation.key29&gt;Reporter.__PinPages.First.__PageNumber&lt;/citation.key29&gt;&lt;citation.value29&gt;295&lt;/citation.value29&gt;&lt;citation.key30&gt;Reporter.__PinPages._Pattern&lt;/citation.key30&gt;&lt;citation.value30&gt;PinPages.PinPages&lt;/citation.value30&gt;&lt;citation.key31&gt;Reporter.page&lt;/citation.key31&gt;&lt;citation.value31&gt;page&lt;/citation.value31&gt;&lt;citation.key32&gt;RequiredComma&lt;/citation.key32&gt;&lt;citation.value32&gt;, &lt;/citation.value32&gt;&lt;citation.key33&gt;RequiredComma._Pattern&lt;/citation.key33&gt;&lt;citation.value33&gt;RequiredComma.RequiredComma&lt;/citation.value33&gt;&lt;citation.key34&gt;SecondParty&lt;/citation.key34&gt;&lt;citation.value34&gt;Murphy &lt;/citation.value34&gt;&lt;citation.key35&gt;__Signal&lt;/citation.key35&gt;&lt;citation.value35&gt;see &lt;/citation.value35&gt;&lt;citation.key36&gt;__Signal.ForbiddenComma._Pattern&lt;/citation.key36&gt;&lt;citation.value36&gt;ForbiddenComma.ForbiddenComma&lt;/citation.value36&gt;&lt;citation.key37&gt;__Signal.See&lt;/citation.key37&gt;&lt;citation.value37&gt;see&lt;/citation.value37&gt;&lt;citation.key38&gt;__Signal._Pattern&lt;/citation.key38&gt;&lt;citation.value38&gt;Signal.Signal&lt;/citation.value38&gt;&lt;citation.key39&gt;supra&lt;/citation.key39&gt;&lt;citation.value39&gt;&lt;/citation.value39&gt;&lt;citation.key40&gt;supra.,&lt;/citation.key40&gt;&lt;citation.value40&gt;, &lt;/citation.value40&gt;&lt;citation.key41&gt;supra._Pattern&lt;/citation.key41&gt;&lt;citation.value41&gt;ShortCaseSupra.ShortCaseSupra&lt;/citation.value41&gt;&lt;citation.key42&gt;supra.supra&lt;/citation.key42&gt;&lt;citation.value42&gt;supra&lt;/citation.value42&gt;&lt;citation.key43&gt;v&lt;/citation.key43&gt;&lt;citation.value43&gt;v.&lt;/citation.value43&gt;&lt;/citation&gt;_x000a_"/>
    <w:docVar w:name="CITRUS_BOOKMARK104[0]" w:val="&lt;#1&gt;&lt;citation&gt;&lt;citation._original_string&gt;Cherokee Nation v. Leavitt, 543 U.S. 631, 646&lt;/citation._original_string&gt;&lt;citation._current_string&gt;Cherokee Nation of Okla. v. Leavitt, 543 U.S. 631, 646 (2005)&lt;/citation._current_string&gt;&lt;citation._full_string&gt;Cherokee Nation of Okla. v. Leavitt, 543 U.S. 631, 646 (2005)&lt;/citation._full_string&gt;&lt;citation._current_format&gt;Full.CaseCitation&lt;/citation._current_format&gt;&lt;citation.name&gt;&lt;/citation.name&gt;&lt;citation.key0&gt;,&lt;/citation.key0&gt;&lt;citation.value0&gt;,&lt;/citation.value0&gt;&lt;citation.key1&gt;CaseName.FirstParty.Party&lt;/citation.key1&gt;&lt;citation.value1&gt;Cherokee Nation of Okla.&lt;/citation.value1&gt;&lt;citation.key2&gt;CaseName.FirstParty._Pattern&lt;/citation.key2&gt;&lt;citation.value2&gt;Party.Party&lt;/citation.value2&gt;&lt;citation.key3&gt;CaseName.SecondParty.Party&lt;/citation.key3&gt;&lt;citation.value3&gt;Leavitt&lt;/citation.value3&gt;&lt;citation.key4&gt;CaseName.SecondParty._Pattern&lt;/citation.key4&gt;&lt;citation.value4&gt;Party.Party&lt;/citation.value4&gt;&lt;citation.key5&gt;CourtParenthetical&lt;/citation.key5&gt;&lt;citation.value5&gt; (2005) &lt;/citation.value5&gt;&lt;citation.key6&gt;CourtParenthetical.Date.Year.Year&lt;/citation.key6&gt;&lt;citation.value6&gt;2005&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_Pattern&lt;/citation.key9&gt;&lt;citation.value9&gt;CourtParenthetical.CourtParenthetical&lt;/citation.value9&gt;&lt;citation.key10&gt;FirstParty&lt;/citation.key10&gt;&lt;citation.value10&gt;Cherokee Nation of Okla. &lt;/citation.value10&gt;&lt;citation.key11&gt;Id&lt;/citation.key11&gt;&lt;citation.value11&gt;Id. &lt;/citation.value11&gt;&lt;citation.key12&gt;Id.Id&lt;/citation.key12&gt;&lt;citation.value12&gt;Id.&lt;/citation.value12&gt;&lt;citation.key13&gt;Id._Pattern&lt;/citation.key13&gt;&lt;citation.value13&gt;IdGraph.IdGraph&lt;/citation.value13&gt;&lt;citation.key14&gt;NY L Paren&lt;/citation.key14&gt;&lt;citation.value14&gt;(&lt;/citation.value14&gt;&lt;citation.key15&gt;NY R Paren&lt;/citation.key15&gt;&lt;citation.value15&gt;)&lt;/citation.value15&gt;&lt;citation.key16&gt;Reporter&lt;/citation.key16&gt;&lt;citation.value16&gt;543 U.S. 631, 646&lt;/citation.value16&gt;&lt;citation.key17&gt;Reporter.FirstPage&lt;/citation.key17&gt;&lt;citation.value17&gt;631&lt;/citation.value17&gt;&lt;citation.key18&gt;Reporter.Name&lt;/citation.key18&gt;&lt;citation.value18&gt;U.S.&lt;/citation.value18&gt;&lt;citation.key19&gt;Reporter.RequiredComma&lt;/citation.key19&gt;&lt;citation.value19&gt;, &lt;/citation.value19&gt;&lt;citation.key20&gt;Reporter.RequiredComma.Comma&lt;/citation.key20&gt;&lt;citation.value20&gt;,&lt;/citation.value20&gt;&lt;citation.key21&gt;Reporter.RequiredComma._Pattern&lt;/citation.key21&gt;&lt;citation.value21&gt;RequiredComma.RequiredComma&lt;/citation.value21&gt;&lt;citation.key22&gt;Reporter.Volume&lt;/citation.key22&gt;&lt;citation.value22&gt;543&lt;/citation.value22&gt;&lt;citation.key23&gt;Reporter.[&lt;/citation.key23&gt;&lt;citation.value23&gt;[&lt;/citation.value23&gt;&lt;citation.key24&gt;Reporter.]&lt;/citation.key24&gt;&lt;citation.value24&gt;]&lt;/citation.value24&gt;&lt;citation.key25&gt;Reporter._Pattern&lt;/citation.key25&gt;&lt;citation.value25&gt;Reporter.Reporter&lt;/citation.value25&gt;&lt;citation.key26&gt;Reporter.__PinPages&lt;/citation.key26&gt;&lt;citation.value26&gt;646&lt;/citation.value26&gt;&lt;citation.key27&gt;Reporter.__PinPages.First&lt;/citation.key27&gt;&lt;citation.value27&gt;646&lt;/citation.value27&gt;&lt;citation.key28&gt;Reporter.__PinPages.First._Pattern&lt;/citation.key28&gt;&lt;citation.value28&gt;FirstPageInRange.FirstPageInRange&lt;/citation.value28&gt;&lt;citation.key29&gt;Reporter.__PinPages.First.__PageNumber&lt;/citation.key29&gt;&lt;citation.value29&gt;646&lt;/citation.value29&gt;&lt;citation.key30&gt;Reporter.__PinPages._Pattern&lt;/citation.key30&gt;&lt;citation.value30&gt;PinPages.PinPages&lt;/citation.value30&gt;&lt;citation.key31&gt;Reporter.page&lt;/citation.key31&gt;&lt;citation.value31&gt;page&lt;/citation.value31&gt;&lt;citation.key32&gt;RequiredComma&lt;/citation.key32&gt;&lt;citation.value32&gt;, &lt;/citation.value32&gt;&lt;citation.key33&gt;RequiredComma._Pattern&lt;/citation.key33&gt;&lt;citation.value33&gt;RequiredComma.RequiredComma&lt;/citation.value33&gt;&lt;citation.key34&gt;SecondParty&lt;/citation.key34&gt;&lt;citation.value34&gt;Leavitt &lt;/citation.value34&gt;&lt;citation.key35&gt;supra&lt;/citation.key35&gt;&lt;citation.value35&gt;&lt;/citation.value35&gt;&lt;citation.key36&gt;supra.,&lt;/citation.key36&gt;&lt;citation.value36&gt;, &lt;/citation.value36&gt;&lt;citation.key37&gt;supra._Pattern&lt;/citation.key37&gt;&lt;citation.value37&gt;ShortCaseSupra.ShortCaseSupra&lt;/citation.value37&gt;&lt;citation.key38&gt;supra.supra&lt;/citation.key38&gt;&lt;citation.value38&gt;supra&lt;/citation.value38&gt;&lt;citation.key39&gt;v&lt;/citation.key39&gt;&lt;citation.value39&gt;v.&lt;/citation.value39&gt;&lt;/citation&gt;_x000a_"/>
    <w:docVar w:name="CITRUS_BOOKMARK105[0]" w:val="&lt;#1&gt;&lt;citation&gt;&lt;citation._original_string&gt;Id. at 31978&lt;/citation._original_string&gt;&lt;citation._current_string&gt;Id. at 31,978&lt;/citation._current_string&gt;&lt;citation._full_string&gt;Cherokee Nation of Okla. v. Leavitt, 543 U.S. 631, 31,978 (2005)&lt;/citation._full_string&gt;&lt;citation._current_format&gt;Id.CaseId&lt;/citation._current_format&gt;&lt;citation.name&gt;&lt;/citation.name&gt;&lt;citation.key0&gt;,&lt;/citation.key0&gt;&lt;citation.value0&gt;,&lt;/citation.value0&gt;&lt;citation.key1&gt;CaseName.FirstParty.Party&lt;/citation.key1&gt;&lt;citation.value1&gt;Cherokee Nation of Okla.&lt;/citation.value1&gt;&lt;citation.key2&gt;CaseName.FirstParty._Pattern&lt;/citation.key2&gt;&lt;citation.value2&gt;Party.Party&lt;/citation.value2&gt;&lt;citation.key3&gt;CaseName.SecondParty.Party&lt;/citation.key3&gt;&lt;citation.value3&gt;Leavitt&lt;/citation.value3&gt;&lt;citation.key4&gt;CaseName.SecondParty._Pattern&lt;/citation.key4&gt;&lt;citation.value4&gt;Party.Party&lt;/citation.value4&gt;&lt;citation.key5&gt;CourtParenthetical&lt;/citation.key5&gt;&lt;citation.value5&gt; (2005) &lt;/citation.value5&gt;&lt;citation.key6&gt;CourtParenthetical.Date.Year.Year&lt;/citation.key6&gt;&lt;citation.value6&gt;2005&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_Pattern&lt;/citation.key9&gt;&lt;citation.value9&gt;CourtParenthetical.CourtParenthetical&lt;/citation.value9&gt;&lt;citation.key10&gt;FirstParty&lt;/citation.key10&gt;&lt;citation.value10&gt;Cherokee Nation of Okla. &lt;/citation.value10&gt;&lt;citation.key11&gt;Id&lt;/citation.key11&gt;&lt;citation.value11&gt;Id. &lt;/citation.value11&gt;&lt;citation.key12&gt;Id.ForbiddenComma._Pattern&lt;/citation.key12&gt;&lt;citation.value12&gt;ForbiddenComma.ForbiddenComma&lt;/citation.value12&gt;&lt;citation.key13&gt;Id.Id&lt;/citation.key13&gt;&lt;citation.value13&gt;Id.&lt;/citation.value13&gt;&lt;citation.key14&gt;Id._Pattern&lt;/citation.key14&gt;&lt;citation.value14&gt;IdGraph.IdGraph&lt;/citation.value14&gt;&lt;citation.key15&gt;NY L Paren&lt;/citation.key15&gt;&lt;citation.value15&gt;(&lt;/citation.value15&gt;&lt;citation.key16&gt;NY R Paren&lt;/citation.key16&gt;&lt;citation.value16&gt;)&lt;/citation.value16&gt;&lt;citation.key17&gt;Reporter&lt;/citation.key17&gt;&lt;citation.value17&gt;543 U.S. 631, 31,978&lt;/citation.value17&gt;&lt;citation.key18&gt;Reporter.FirstPage&lt;/citation.key18&gt;&lt;citation.value18&gt;631&lt;/citation.value18&gt;&lt;citation.key19&gt;Reporter.Name&lt;/citation.key19&gt;&lt;citation.value19&gt;U.S.&lt;/citation.value19&gt;&lt;citation.key20&gt;Reporter.RequiredComma&lt;/citation.key20&gt;&lt;citation.value20&gt;, &lt;/citation.value20&gt;&lt;citation.key21&gt;Reporter.RequiredComma.Comma&lt;/citation.key21&gt;&lt;citation.value21&gt;,&lt;/citation.value21&gt;&lt;citation.key22&gt;Reporter.RequiredComma._Pattern&lt;/citation.key22&gt;&lt;citation.value22&gt;RequiredComma.RequiredComma&lt;/citation.value22&gt;&lt;citation.key23&gt;Reporter.Volume&lt;/citation.key23&gt;&lt;citation.value23&gt;543&lt;/citation.value23&gt;&lt;citation.key24&gt;Reporter.[&lt;/citation.key24&gt;&lt;citation.value24&gt;[&lt;/citation.value24&gt;&lt;citation.key25&gt;Reporter.]&lt;/citation.key25&gt;&lt;citation.value25&gt;]&lt;/citation.value25&gt;&lt;citation.key26&gt;Reporter._Pattern&lt;/citation.key26&gt;&lt;citation.value26&gt;Reporter.Reporter&lt;/citation.value26&gt;&lt;citation.key27&gt;Reporter.__PinPages&lt;/citation.key27&gt;&lt;citation.value27&gt;31,978&lt;/citation.value27&gt;&lt;citation.key28&gt;Reporter.__PinPages.First&lt;/citation.key28&gt;&lt;citation.value28&gt;31,978&lt;/citation.value28&gt;&lt;citation.key29&gt;Reporter.__PinPages.First._Pattern&lt;/citation.key29&gt;&lt;citation.value29&gt;FirstPageInRange.FirstPageInRange&lt;/citation.value29&gt;&lt;citation.key30&gt;Reporter.__PinPages.First.__PageNumber&lt;/citation.key30&gt;&lt;citation.value30&gt;31978&lt;/citation.value30&gt;&lt;citation.key31&gt;Reporter.__PinPages._Pattern&lt;/citation.key31&gt;&lt;citation.value31&gt;PinPages.PinPages&lt;/citation.value31&gt;&lt;citation.key32&gt;Reporter.at&lt;/citation.key32&gt;&lt;citation.value32&gt;at&lt;/citation.value32&gt;&lt;citation.key33&gt;Reporter.page&lt;/citation.key33&gt;&lt;citation.value33&gt;page&lt;/citation.value33&gt;&lt;citation.key34&gt;RequiredComma&lt;/citation.key34&gt;&lt;citation.value34&gt;, &lt;/citation.value34&gt;&lt;citation.key35&gt;RequiredComma._Pattern&lt;/citation.key35&gt;&lt;citation.value35&gt;RequiredComma.RequiredComma&lt;/citation.value35&gt;&lt;citation.key36&gt;SecondParty&lt;/citation.key36&gt;&lt;citation.value36&gt;Leavitt &lt;/citation.value36&gt;&lt;citation.key37&gt;supra&lt;/citation.key37&gt;&lt;citation.value37&gt;&lt;/citation.value37&gt;&lt;citation.key38&gt;supra.,&lt;/citation.key38&gt;&lt;citation.value38&gt;, &lt;/citation.value38&gt;&lt;citation.key39&gt;supra._Pattern&lt;/citation.key39&gt;&lt;citation.value39&gt;ShortCaseSupra.ShortCaseSupra&lt;/citation.value39&gt;&lt;citation.key40&gt;supra.supra&lt;/citation.key40&gt;&lt;citation.value40&gt;supra&lt;/citation.value40&gt;&lt;citation.key41&gt;v&lt;/citation.key41&gt;&lt;citation.value41&gt;v.&lt;/citation.value41&gt;&lt;/citation&gt;_x000a_"/>
    <w:docVar w:name="CITRUS_BOOKMARK107[0]" w:val="&lt;#1&gt;&lt;citation&gt;&lt;citation._original_string&gt;Id. at 145&lt;/citation._original_string&gt;&lt;citation._current_string&gt;Schiller &amp; Schmidt v. Nordisco Corp., 969 F.2d 410, 145 (7th Cir. 1992)&lt;/citation._current_string&gt;&lt;citation._full_string&gt;Schiller &amp; Schmidt v. Nordisco Corp., 969 F.2d 410, 145 (7th Cir. 1992)&lt;/citation._full_string&gt;&lt;citation._current_format&gt;Full.CaseCitation&lt;/citation._current_format&gt;&lt;citation.name&gt;&lt;/citation.name&gt;&lt;citation.key0&gt;CaseName&lt;/citation.key0&gt;&lt;citation.value0&gt;Schiller &amp; Schmidt v. Nordisco Corp. &lt;/citation.value0&gt;&lt;citation.key1&gt;CaseName.FirstParty&lt;/citation.key1&gt;&lt;citation.value1&gt;Schiller &amp; Schmidt &lt;/citation.value1&gt;&lt;citation.key2&gt;CaseName.FirstParty.Party&lt;/citation.key2&gt;&lt;citation.value2&gt;Schiller &amp; Schmidt&lt;/citation.value2&gt;&lt;citation.key3&gt;CaseName.FirstParty._Pattern&lt;/citation.key3&gt;&lt;citation.value3&gt;Party.Party&lt;/citation.value3&gt;&lt;citation.key4&gt;CaseName.SecondParty&lt;/citation.key4&gt;&lt;citation.value4&gt;Nordisco Corp. &lt;/citation.value4&gt;&lt;citation.key5&gt;CaseName.SecondParty.Party&lt;/citation.key5&gt;&lt;citation.value5&gt;Nordisco Corp.&lt;/citation.value5&gt;&lt;citation.key6&gt;CaseName.SecondParty._Pattern&lt;/citation.key6&gt;&lt;citation.value6&gt;Party.Party&lt;/citation.value6&gt;&lt;citation.key7&gt;CaseName._Pattern&lt;/citation.key7&gt;&lt;citation.value7&gt;ShortCaseName.ShortCaseName&lt;/citation.value7&gt;&lt;citation.key8&gt;CaseName.v&lt;/citation.key8&gt;&lt;citation.value8&gt;v.&lt;/citation.value8&gt;&lt;citation.key9&gt;CourtParenthetical&lt;/citation.key9&gt;&lt;citation.value9&gt; (7th Cir. 1992) &lt;/citation.value9&gt;&lt;citation.key10&gt;CourtParenthetical.CourtName&lt;/citation.key10&gt;&lt;citation.value10&gt;7th Cir. &lt;/citation.value10&gt;&lt;citation.key11&gt;CourtParenthetical.CourtName.CourtName&lt;/citation.key11&gt;&lt;citation.value11&gt;7th Cir.&lt;/citation.value11&gt;&lt;citation.key12&gt;CourtParenthetical.CourtName._Pattern&lt;/citation.key12&gt;&lt;citation.value12&gt;CourtName.CourtName&lt;/citation.value12&gt;&lt;citation.key13&gt;CourtParenthetical.Date&lt;/citation.key13&gt;&lt;citation.value13&gt;1992 &lt;/citation.value13&gt;&lt;citation.key14&gt;CourtParenthetical.Date.Year&lt;/citation.key14&gt;&lt;citation.value14&gt;1992 &lt;/citation.value14&gt;&lt;citation.key15&gt;CourtParenthetical.Date.Year.Year&lt;/citation.key15&gt;&lt;citation.value15&gt;1992&lt;/citation.value15&gt;&lt;citation.key16&gt;CourtParenthetical.Date.Year._Pattern&lt;/citation.key16&gt;&lt;citation.value16&gt;Year.Year&lt;/citation.value16&gt;&lt;citation.key17&gt;CourtParenthetical.Date._Pattern&lt;/citation.key17&gt;&lt;citation.value17&gt;Date.Date&lt;/citation.value17&gt;&lt;citation.key18&gt;CourtParenthetical.ForbiddenComma._Pattern&lt;/citation.key18&gt;&lt;citation.value18&gt;ForbiddenComma.ForbiddenComma&lt;/citation.value18&gt;&lt;citation.key19&gt;CourtParenthetical.Switch ( [ L&lt;/citation.key19&gt;&lt;citation.value19&gt; (&lt;/citation.value19&gt;&lt;citation.key20&gt;CourtParenthetical.Switch ( [ L.(&lt;/citation.key20&gt;&lt;citation.value20&gt;(&lt;/citation.value20&gt;&lt;citation.key21&gt;CourtParenthetical.Switch ( [ L._Pattern&lt;/citation.key21&gt;&lt;citation.value21&gt;Switch ( [ L.Switch ( [ L&lt;/citation.value21&gt;&lt;citation.key22&gt;CourtParenthetical.Switch ) ] R&lt;/citation.key22&gt;&lt;citation.value22&gt;) &lt;/citation.value22&gt;&lt;citation.key23&gt;CourtParenthetical.Switch ) ] R.)&lt;/citation.key23&gt;&lt;citation.value23&gt;)&lt;/citation.value23&gt;&lt;citation.key24&gt;CourtParenthetical.Switch ) ] R._Pattern&lt;/citation.key24&gt;&lt;citation.value24&gt;Switch ) ] R.Switch ) ] R&lt;/citation.value24&gt;&lt;citation.key25&gt;CourtParenthetical._Pattern&lt;/citation.key25&gt;&lt;citation.value25&gt;CourtParenthetical.CourtParenthetical&lt;/citation.value25&gt;&lt;citation.key26&gt;Id&lt;/citation.key26&gt;&lt;citation.value26&gt;Id. &lt;/citation.value26&gt;&lt;citation.key27&gt;Id.Id&lt;/citation.key27&gt;&lt;citation.value27&gt;Id.&lt;/citation.value27&gt;&lt;citation.key28&gt;Id._Pattern&lt;/citation.key28&gt;&lt;citation.value28&gt;IdGraph.IdGraph&lt;/citation.value28&gt;&lt;citation.key29&gt;NY L Paren&lt;/citation.key29&gt;&lt;citation.value29&gt;(&lt;/citation.value29&gt;&lt;citation.key30&gt;NY R Paren&lt;/citation.key30&gt;&lt;citation.value30&gt;)&lt;/citation.value30&gt;&lt;citation.key31&gt;Reporter&lt;/citation.key31&gt;&lt;citation.value31&gt;969 F.2d at 145&lt;/citation.value31&gt;&lt;citation.key32&gt;Reporter.FirstPage&lt;/citation.key32&gt;&lt;citation.value32&gt;410&lt;/citation.value32&gt;&lt;citation.key33&gt;Reporter.Name&lt;/citation.key33&gt;&lt;citation.value33&gt;F.2d&lt;/citation.value33&gt;&lt;citation.key34&gt;Reporter.RequiredComma&lt;/citation.key34&gt;&lt;citation.value34&gt;, &lt;/citation.value34&gt;&lt;citation.key35&gt;Reporter.RequiredComma.Comma&lt;/citation.key35&gt;&lt;citation.value35&gt;,&lt;/citation.value35&gt;&lt;citation.key36&gt;Reporter.RequiredComma._Pattern&lt;/citation.key36&gt;&lt;citation.value36&gt;RequiredComma.RequiredComma&lt;/citation.value36&gt;&lt;citation.key37&gt;Reporter.Volume&lt;/citation.key37&gt;&lt;citation.value37&gt;969&lt;/citation.value37&gt;&lt;citation.key38&gt;Reporter.[&lt;/citation.key38&gt;&lt;citation.value38&gt;[&lt;/citation.value38&gt;&lt;citation.key39&gt;Reporter.]&lt;/citation.key39&gt;&lt;citation.value39&gt;]&lt;/citation.value39&gt;&lt;citation.key40&gt;Reporter._Pattern&lt;/citation.key40&gt;&lt;citation.value40&gt;ShortReporter.ShortReporter&lt;/citation.value40&gt;&lt;citation.key41&gt;Reporter.__PinPages&lt;/citation.key41&gt;&lt;citation.value41&gt;145&lt;/citation.value41&gt;&lt;citation.key42&gt;Reporter.__PinPages.First&lt;/citation.key42&gt;&lt;citation.value42&gt;145&lt;/citation.value42&gt;&lt;citation.key43&gt;Reporter.__PinPages.First._Pattern&lt;/citation.key43&gt;&lt;citation.value43&gt;FirstPageInRange.FirstPageInRange&lt;/citation.value43&gt;&lt;citation.key44&gt;Reporter.__PinPages.First.__PageNumber&lt;/citation.key44&gt;&lt;citation.value44&gt;145&lt;/citation.value44&gt;&lt;citation.key45&gt;Reporter.__PinPages._Pattern&lt;/citation.key45&gt;&lt;citation.value45&gt;PinPages.PinPages&lt;/citation.value45&gt;&lt;citation.key46&gt;Reporter.page&lt;/citation.key46&gt;&lt;citation.value46&gt;page&lt;/citation.value46&gt;&lt;citation.key47&gt;RequiredComma&lt;/citation.key47&gt;&lt;citation.value47&gt;, &lt;/citation.value47&gt;&lt;citation.key48&gt;RequiredComma.Comma&lt;/citation.key48&gt;&lt;citation.value48&gt;,&lt;/citation.value48&gt;&lt;citation.key49&gt;RequiredComma._Pattern&lt;/citation.key49&gt;&lt;citation.value49&gt;RequiredComma.RequiredComma&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gt;_x000a_"/>
    <w:docVar w:name="CITRUS_BOOKMARK108[0]" w:val="&lt;#1&gt;&lt;citation&gt;&lt;citation._original_string&gt;Id. at 145&lt;/citation._original_string&gt;&lt;citation._current_string&gt;Schiller &amp; Schmidt v. Nordisco Corp., 969 F.2d 410, 145 (7th Cir. 1992)&lt;/citation._current_string&gt;&lt;citation._full_string&gt;Schiller &amp; Schmidt v. Nordisco Corp., 969 F.2d 410, 145 (7th Cir. 1992)&lt;/citation._full_string&gt;&lt;citation._current_format&gt;Full.CaseCitation&lt;/citation._current_format&gt;&lt;citation.name&gt;&lt;/citation.name&gt;&lt;citation.key0&gt;CaseName&lt;/citation.key0&gt;&lt;citation.value0&gt;Schiller &amp; Schmidt v. Nordisco Corp. &lt;/citation.value0&gt;&lt;citation.key1&gt;CaseName.FirstParty&lt;/citation.key1&gt;&lt;citation.value1&gt;Schiller &amp; Schmidt &lt;/citation.value1&gt;&lt;citation.key2&gt;CaseName.FirstParty.Party&lt;/citation.key2&gt;&lt;citation.value2&gt;Schiller &amp; Schmidt&lt;/citation.value2&gt;&lt;citation.key3&gt;CaseName.FirstParty._Pattern&lt;/citation.key3&gt;&lt;citation.value3&gt;Party.Party&lt;/citation.value3&gt;&lt;citation.key4&gt;CaseName.SecondParty&lt;/citation.key4&gt;&lt;citation.value4&gt;Nordisco Corp. &lt;/citation.value4&gt;&lt;citation.key5&gt;CaseName.SecondParty.Party&lt;/citation.key5&gt;&lt;citation.value5&gt;Nordisco Corp.&lt;/citation.value5&gt;&lt;citation.key6&gt;CaseName.SecondParty._Pattern&lt;/citation.key6&gt;&lt;citation.value6&gt;Party.Party&lt;/citation.value6&gt;&lt;citation.key7&gt;CaseName._Pattern&lt;/citation.key7&gt;&lt;citation.value7&gt;ShortCaseName.ShortCaseName&lt;/citation.value7&gt;&lt;citation.key8&gt;CaseName.v&lt;/citation.key8&gt;&lt;citation.value8&gt;v.&lt;/citation.value8&gt;&lt;citation.key9&gt;CourtParenthetical&lt;/citation.key9&gt;&lt;citation.value9&gt; (7th Cir. 1992) &lt;/citation.value9&gt;&lt;citation.key10&gt;CourtParenthetical.CourtName&lt;/citation.key10&gt;&lt;citation.value10&gt;7th Cir. &lt;/citation.value10&gt;&lt;citation.key11&gt;CourtParenthetical.CourtName.CourtName&lt;/citation.key11&gt;&lt;citation.value11&gt;7th Cir.&lt;/citation.value11&gt;&lt;citation.key12&gt;CourtParenthetical.CourtName._Pattern&lt;/citation.key12&gt;&lt;citation.value12&gt;CourtName.CourtName&lt;/citation.value12&gt;&lt;citation.key13&gt;CourtParenthetical.Date&lt;/citation.key13&gt;&lt;citation.value13&gt;1992 &lt;/citation.value13&gt;&lt;citation.key14&gt;CourtParenthetical.Date.Year&lt;/citation.key14&gt;&lt;citation.value14&gt;1992 &lt;/citation.value14&gt;&lt;citation.key15&gt;CourtParenthetical.Date.Year.Year&lt;/citation.key15&gt;&lt;citation.value15&gt;1992&lt;/citation.value15&gt;&lt;citation.key16&gt;CourtParenthetical.Date.Year._Pattern&lt;/citation.key16&gt;&lt;citation.value16&gt;Year.Year&lt;/citation.value16&gt;&lt;citation.key17&gt;CourtParenthetical.Date._Pattern&lt;/citation.key17&gt;&lt;citation.value17&gt;Date.Date&lt;/citation.value17&gt;&lt;citation.key18&gt;CourtParenthetical.ForbiddenComma._Pattern&lt;/citation.key18&gt;&lt;citation.value18&gt;ForbiddenComma.ForbiddenComma&lt;/citation.value18&gt;&lt;citation.key19&gt;CourtParenthetical.Switch ( [ L&lt;/citation.key19&gt;&lt;citation.value19&gt; (&lt;/citation.value19&gt;&lt;citation.key20&gt;CourtParenthetical.Switch ( [ L.(&lt;/citation.key20&gt;&lt;citation.value20&gt;(&lt;/citation.value20&gt;&lt;citation.key21&gt;CourtParenthetical.Switch ( [ L._Pattern&lt;/citation.key21&gt;&lt;citation.value21&gt;Switch ( [ L.Switch ( [ L&lt;/citation.value21&gt;&lt;citation.key22&gt;CourtParenthetical.Switch ) ] R&lt;/citation.key22&gt;&lt;citation.value22&gt;) &lt;/citation.value22&gt;&lt;citation.key23&gt;CourtParenthetical.Switch ) ] R.)&lt;/citation.key23&gt;&lt;citation.value23&gt;)&lt;/citation.value23&gt;&lt;citation.key24&gt;CourtParenthetical.Switch ) ] R._Pattern&lt;/citation.key24&gt;&lt;citation.value24&gt;Switch ) ] R.Switch ) ] R&lt;/citation.value24&gt;&lt;citation.key25&gt;CourtParenthetical._Pattern&lt;/citation.key25&gt;&lt;citation.value25&gt;CourtParenthetical.CourtParenthetical&lt;/citation.value25&gt;&lt;citation.key26&gt;Id&lt;/citation.key26&gt;&lt;citation.value26&gt;Id. &lt;/citation.value26&gt;&lt;citation.key27&gt;Id.ForbiddenComma._Pattern&lt;/citation.key27&gt;&lt;citation.value27&gt;ForbiddenComma.ForbiddenComma&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969 F.2d at 145&lt;/citation.value32&gt;&lt;citation.key33&gt;Reporter.FirstPage&lt;/citation.key33&gt;&lt;citation.value33&gt;410&lt;/citation.value33&gt;&lt;citation.key34&gt;Reporter.Name&lt;/citation.key34&gt;&lt;citation.value34&gt;F.2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969&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145&lt;/citation.value42&gt;&lt;citation.key43&gt;Reporter.__PinPages.First&lt;/citation.key43&gt;&lt;citation.value43&gt;145&lt;/citation.value43&gt;&lt;citation.key44&gt;Reporter.__PinPages.First._Pattern&lt;/citation.key44&gt;&lt;citation.value44&gt;FirstPageInRange.FirstPageInRange&lt;/citation.value44&gt;&lt;citation.key45&gt;Reporter.__PinPages.First.__PageNumber&lt;/citation.key45&gt;&lt;citation.value45&gt;145&lt;/citation.value45&gt;&lt;citation.key46&gt;Reporter.__PinPages._Pattern&lt;/citation.key46&gt;&lt;citation.value46&gt;PinPages.PinPages&lt;/citation.value46&gt;&lt;citation.key47&gt;Reporter.at&lt;/citation.key47&gt;&lt;citation.value47&gt;at&lt;/citation.value47&gt;&lt;citation.key48&gt;Reporter.page&lt;/citation.key48&gt;&lt;citation.value48&gt;page&lt;/citation.value48&gt;&lt;citation.key49&gt;RequiredComma&lt;/citation.key49&gt;&lt;citation.value49&gt;, &lt;/citation.value49&gt;&lt;citation.key50&gt;RequiredComma.Comma&lt;/citation.key50&gt;&lt;citation.value50&gt;,&lt;/citation.value50&gt;&lt;citation.key51&gt;RequiredComma._Pattern&lt;/citation.key51&gt;&lt;citation.value51&gt;RequiredComma.RequiredComma&lt;/citation.value51&gt;&lt;citation.key52&gt;supra&lt;/citation.key52&gt;&lt;citation.value52&gt;&lt;/citation.value52&gt;&lt;citation.key53&gt;supra.,&lt;/citation.key53&gt;&lt;citation.value53&gt;, &lt;/citation.value53&gt;&lt;citation.key54&gt;supra._Pattern&lt;/citation.key54&gt;&lt;citation.value54&gt;ShortCaseSupra.ShortCaseSupra&lt;/citation.value54&gt;&lt;citation.key55&gt;supra.supra&lt;/citation.key55&gt;&lt;citation.value55&gt;supra&lt;/citation.value55&gt;&lt;/citation&gt;_x000a_"/>
    <w:docVar w:name="CITRUS_BOOKMARK109[0]" w:val="&lt;#1&gt;&lt;citation&gt;&lt;citation._original_string&gt;Id. at 145&lt;/citation._original_string&gt;&lt;citation._current_string&gt;Id.&lt;/citation._current_string&gt;&lt;citation._full_string&gt;Schiller &amp; Schmidt v. Nordisco Corp., 969 F.2d 410, 145 (7th Cir. 1992)&lt;/citation._full_string&gt;&lt;citation._current_format&gt;Id.CaseUId&lt;/citation._current_format&gt;&lt;citation.name&gt;&lt;/citation.name&gt;&lt;citation.key0&gt;CaseName&lt;/citation.key0&gt;&lt;citation.value0&gt;Schiller &amp; Schmidt v. Nordisco Corp. &lt;/citation.value0&gt;&lt;citation.key1&gt;CaseName.FirstParty&lt;/citation.key1&gt;&lt;citation.value1&gt;Schiller &amp; Schmidt &lt;/citation.value1&gt;&lt;citation.key2&gt;CaseName.FirstParty.Party&lt;/citation.key2&gt;&lt;citation.value2&gt;Schiller &amp; Schmidt&lt;/citation.value2&gt;&lt;citation.key3&gt;CaseName.FirstParty._Pattern&lt;/citation.key3&gt;&lt;citation.value3&gt;Party.Party&lt;/citation.value3&gt;&lt;citation.key4&gt;CaseName.SecondParty&lt;/citation.key4&gt;&lt;citation.value4&gt;Nordisco Corp. &lt;/citation.value4&gt;&lt;citation.key5&gt;CaseName.SecondParty.Party&lt;/citation.key5&gt;&lt;citation.value5&gt;Nordisco Corp.&lt;/citation.value5&gt;&lt;citation.key6&gt;CaseName.SecondParty._Pattern&lt;/citation.key6&gt;&lt;citation.value6&gt;Party.Party&lt;/citation.value6&gt;&lt;citation.key7&gt;CaseName._Pattern&lt;/citation.key7&gt;&lt;citation.value7&gt;ShortCaseName.ShortCaseName&lt;/citation.value7&gt;&lt;citation.key8&gt;CaseName.v&lt;/citation.key8&gt;&lt;citation.value8&gt;v.&lt;/citation.value8&gt;&lt;citation.key9&gt;CourtParenthetical&lt;/citation.key9&gt;&lt;citation.value9&gt; (7th Cir. 1992) &lt;/citation.value9&gt;&lt;citation.key10&gt;CourtParenthetical.CourtName&lt;/citation.key10&gt;&lt;citation.value10&gt;7th Cir. &lt;/citation.value10&gt;&lt;citation.key11&gt;CourtParenthetical.CourtName.CourtName&lt;/citation.key11&gt;&lt;citation.value11&gt;7th Cir.&lt;/citation.value11&gt;&lt;citation.key12&gt;CourtParenthetical.CourtName._Pattern&lt;/citation.key12&gt;&lt;citation.value12&gt;CourtName.CourtName&lt;/citation.value12&gt;&lt;citation.key13&gt;CourtParenthetical.Date&lt;/citation.key13&gt;&lt;citation.value13&gt;1992 &lt;/citation.value13&gt;&lt;citation.key14&gt;CourtParenthetical.Date.Year&lt;/citation.key14&gt;&lt;citation.value14&gt;1992 &lt;/citation.value14&gt;&lt;citation.key15&gt;CourtParenthetical.Date.Year.Year&lt;/citation.key15&gt;&lt;citation.value15&gt;1992&lt;/citation.value15&gt;&lt;citation.key16&gt;CourtParenthetical.Date.Year._Pattern&lt;/citation.key16&gt;&lt;citation.value16&gt;Year.Year&lt;/citation.value16&gt;&lt;citation.key17&gt;CourtParenthetical.Date._Pattern&lt;/citation.key17&gt;&lt;citation.value17&gt;Date.Date&lt;/citation.value17&gt;&lt;citation.key18&gt;CourtParenthetical.ForbiddenComma._Pattern&lt;/citation.key18&gt;&lt;citation.value18&gt;ForbiddenComma.ForbiddenComma&lt;/citation.value18&gt;&lt;citation.key19&gt;CourtParenthetical.Switch ( [ L&lt;/citation.key19&gt;&lt;citation.value19&gt; (&lt;/citation.value19&gt;&lt;citation.key20&gt;CourtParenthetical.Switch ( [ L.(&lt;/citation.key20&gt;&lt;citation.value20&gt;(&lt;/citation.value20&gt;&lt;citation.key21&gt;CourtParenthetical.Switch ( [ L._Pattern&lt;/citation.key21&gt;&lt;citation.value21&gt;Switch ( [ L.Switch ( [ L&lt;/citation.value21&gt;&lt;citation.key22&gt;CourtParenthetical.Switch ) ] R&lt;/citation.key22&gt;&lt;citation.value22&gt;) &lt;/citation.value22&gt;&lt;citation.key23&gt;CourtParenthetical.Switch ) ] R.)&lt;/citation.key23&gt;&lt;citation.value23&gt;)&lt;/citation.value23&gt;&lt;citation.key24&gt;CourtParenthetical.Switch ) ] R._Pattern&lt;/citation.key24&gt;&lt;citation.value24&gt;Switch ) ] R.Switch ) ] R&lt;/citation.value24&gt;&lt;citation.key25&gt;CourtParenthetical._Pattern&lt;/citation.key25&gt;&lt;citation.value25&gt;CourtParenthetical.CourtParenthetical&lt;/citation.value25&gt;&lt;citation.key26&gt;Id&lt;/citation.key26&gt;&lt;citation.value26&gt;Id. &lt;/citation.value26&gt;&lt;citation.key27&gt;Id.ForbiddenComma._Pattern&lt;/citation.key27&gt;&lt;citation.value27&gt;ForbiddenComma.ForbiddenComma&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969 F.2d at 145&lt;/citation.value32&gt;&lt;citation.key33&gt;Reporter.FirstPage&lt;/citation.key33&gt;&lt;citation.value33&gt;410&lt;/citation.value33&gt;&lt;citation.key34&gt;Reporter.Name&lt;/citation.key34&gt;&lt;citation.value34&gt;F.2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969&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145&lt;/citation.value42&gt;&lt;citation.key43&gt;Reporter.__PinPages.First&lt;/citation.key43&gt;&lt;citation.value43&gt;145&lt;/citation.value43&gt;&lt;citation.key44&gt;Reporter.__PinPages.First._Pattern&lt;/citation.key44&gt;&lt;citation.value44&gt;FirstPageInRange.FirstPageInRange&lt;/citation.value44&gt;&lt;citation.key45&gt;Reporter.__PinPages.First.__PageNumber&lt;/citation.key45&gt;&lt;citation.value45&gt;145&lt;/citation.value45&gt;&lt;citation.key46&gt;Reporter.__PinPages._Pattern&lt;/citation.key46&gt;&lt;citation.value46&gt;PinPages.PinPages&lt;/citation.value46&gt;&lt;citation.key47&gt;Reporter.at&lt;/citation.key47&gt;&lt;citation.value47&gt;at&lt;/citation.value47&gt;&lt;citation.key48&gt;Reporter.page&lt;/citation.key48&gt;&lt;citation.value48&gt;page&lt;/citation.value48&gt;&lt;citation.key49&gt;RequiredComma&lt;/citation.key49&gt;&lt;citation.value49&gt;, &lt;/citation.value49&gt;&lt;citation.key50&gt;RequiredComma.Comma&lt;/citation.key50&gt;&lt;citation.value50&gt;,&lt;/citation.value50&gt;&lt;citation.key51&gt;RequiredComma._Pattern&lt;/citation.key51&gt;&lt;citation.value51&gt;RequiredComma.RequiredComma&lt;/citation.value51&gt;&lt;citation.key52&gt;supra&lt;/citation.key52&gt;&lt;citation.value52&gt;&lt;/citation.value52&gt;&lt;citation.key53&gt;supra.,&lt;/citation.key53&gt;&lt;citation.value53&gt;, &lt;/citation.value53&gt;&lt;citation.key54&gt;supra._Pattern&lt;/citation.key54&gt;&lt;citation.value54&gt;ShortCaseSupra.ShortCaseSupra&lt;/citation.value54&gt;&lt;citation.key55&gt;supra.supra&lt;/citation.key55&gt;&lt;citation.value55&gt;supra&lt;/citation.value55&gt;&lt;/citation&gt;_x000a_"/>
    <w:docVar w:name="CITRUS_BOOKMARK11[0]" w:val="&lt;#1&gt;&lt;citation&gt;&lt;citation._original_string&gt;17 U.S.C. § 10 (2006)&lt;/citation._original_string&gt;&lt;citation._current_string&gt;17 U.S.C. § 10 (2006)&lt;/citation._current_string&gt;&lt;citation._full_string&gt;17 U.S.C. §10 (2006)&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 &lt;/citation.value13&gt;&lt;citation.key14&gt;USCCodeCitation.__SectionOrSections.SectionNumberList.SectionNumberScalarOrRange&lt;/citation.key14&gt;&lt;citation.value14&gt;10 &lt;/citation.value14&gt;&lt;citation.key15&gt;USCCodeCitation.__SectionOrSections.SectionNumberList.SectionNumberScalarOrRange.SectionNumber&lt;/citation.key15&gt;&lt;citation.value15&gt;10&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 (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 &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 &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10[0]" w:val="&lt;#1&gt;&lt;citation&gt;&lt;citation._original_string&gt;Id. at 145&lt;/citation._original_string&gt;&lt;citation._current_string&gt;Schiller &amp; Schmidt v. Nordisco Corp., 969 F.2d 410, 145 (7th Cir. 1992)&lt;/citation._current_string&gt;&lt;citation._full_string&gt;Schiller &amp; Schmidt v. Nordisco Corp., 969 F.2d 410, 145 (7th Cir. 1992)&lt;/citation._full_string&gt;&lt;citation._current_format&gt;Full.CaseCitation&lt;/citation._current_format&gt;&lt;citation.name&gt;&lt;/citation.name&gt;&lt;citation.key0&gt;CaseName&lt;/citation.key0&gt;&lt;citation.value0&gt;Schiller &amp; Schmidt v. Nordisco Corp. &lt;/citation.value0&gt;&lt;citation.key1&gt;CaseName.FirstParty&lt;/citation.key1&gt;&lt;citation.value1&gt;Schiller &amp; Schmidt &lt;/citation.value1&gt;&lt;citation.key2&gt;CaseName.FirstParty.Party&lt;/citation.key2&gt;&lt;citation.value2&gt;Schiller &amp; Schmidt&lt;/citation.value2&gt;&lt;citation.key3&gt;CaseName.FirstParty._Pattern&lt;/citation.key3&gt;&lt;citation.value3&gt;Party.Party&lt;/citation.value3&gt;&lt;citation.key4&gt;CaseName.SecondParty&lt;/citation.key4&gt;&lt;citation.value4&gt;Nordisco Corp. &lt;/citation.value4&gt;&lt;citation.key5&gt;CaseName.SecondParty.Party&lt;/citation.key5&gt;&lt;citation.value5&gt;Nordisco Corp.&lt;/citation.value5&gt;&lt;citation.key6&gt;CaseName.SecondParty._Pattern&lt;/citation.key6&gt;&lt;citation.value6&gt;Party.Party&lt;/citation.value6&gt;&lt;citation.key7&gt;CaseName._Pattern&lt;/citation.key7&gt;&lt;citation.value7&gt;ShortCaseName.ShortCaseName&lt;/citation.value7&gt;&lt;citation.key8&gt;CaseName.v&lt;/citation.key8&gt;&lt;citation.value8&gt;v.&lt;/citation.value8&gt;&lt;citation.key9&gt;CourtParenthetical&lt;/citation.key9&gt;&lt;citation.value9&gt; (7th Cir. 1992) &lt;/citation.value9&gt;&lt;citation.key10&gt;CourtParenthetical.CourtName&lt;/citation.key10&gt;&lt;citation.value10&gt;7th Cir. &lt;/citation.value10&gt;&lt;citation.key11&gt;CourtParenthetical.CourtName.CourtName&lt;/citation.key11&gt;&lt;citation.value11&gt;7th Cir.&lt;/citation.value11&gt;&lt;citation.key12&gt;CourtParenthetical.CourtName._Pattern&lt;/citation.key12&gt;&lt;citation.value12&gt;CourtName.CourtName&lt;/citation.value12&gt;&lt;citation.key13&gt;CourtParenthetical.Date&lt;/citation.key13&gt;&lt;citation.value13&gt;1992 &lt;/citation.value13&gt;&lt;citation.key14&gt;CourtParenthetical.Date.Year&lt;/citation.key14&gt;&lt;citation.value14&gt;1992 &lt;/citation.value14&gt;&lt;citation.key15&gt;CourtParenthetical.Date.Year.Year&lt;/citation.key15&gt;&lt;citation.value15&gt;1992&lt;/citation.value15&gt;&lt;citation.key16&gt;CourtParenthetical.Date.Year._Pattern&lt;/citation.key16&gt;&lt;citation.value16&gt;Year.Year&lt;/citation.value16&gt;&lt;citation.key17&gt;CourtParenthetical.Date._Pattern&lt;/citation.key17&gt;&lt;citation.value17&gt;Date.Date&lt;/citation.value17&gt;&lt;citation.key18&gt;CourtParenthetical.ForbiddenComma._Pattern&lt;/citation.key18&gt;&lt;citation.value18&gt;ForbiddenComma.ForbiddenComma&lt;/citation.value18&gt;&lt;citation.key19&gt;CourtParenthetical.Switch ( [ L&lt;/citation.key19&gt;&lt;citation.value19&gt; (&lt;/citation.value19&gt;&lt;citation.key20&gt;CourtParenthetical.Switch ( [ L.(&lt;/citation.key20&gt;&lt;citation.value20&gt;(&lt;/citation.value20&gt;&lt;citation.key21&gt;CourtParenthetical.Switch ( [ L._Pattern&lt;/citation.key21&gt;&lt;citation.value21&gt;Switch ( [ L.Switch ( [ L&lt;/citation.value21&gt;&lt;citation.key22&gt;CourtParenthetical.Switch ) ] R&lt;/citation.key22&gt;&lt;citation.value22&gt;) &lt;/citation.value22&gt;&lt;citation.key23&gt;CourtParenthetical.Switch ) ] R.)&lt;/citation.key23&gt;&lt;citation.value23&gt;)&lt;/citation.value23&gt;&lt;citation.key24&gt;CourtParenthetical.Switch ) ] R._Pattern&lt;/citation.key24&gt;&lt;citation.value24&gt;Switch ) ] R.Switch ) ] R&lt;/citation.value24&gt;&lt;citation.key25&gt;CourtParenthetical._Pattern&lt;/citation.key25&gt;&lt;citation.value25&gt;CourtParenthetical.CourtParenthetical&lt;/citation.value25&gt;&lt;citation.key26&gt;Id&lt;/citation.key26&gt;&lt;citation.value26&gt;Id. &lt;/citation.value26&gt;&lt;citation.key27&gt;Id.ForbiddenComma._Pattern&lt;/citation.key27&gt;&lt;citation.value27&gt;ForbiddenComma.ForbiddenComma&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969 F.2d at 145&lt;/citation.value32&gt;&lt;citation.key33&gt;Reporter.FirstPage&lt;/citation.key33&gt;&lt;citation.value33&gt;410&lt;/citation.value33&gt;&lt;citation.key34&gt;Reporter.Name&lt;/citation.key34&gt;&lt;citation.value34&gt;F.2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969&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145&lt;/citation.value42&gt;&lt;citation.key43&gt;Reporter.__PinPages.First&lt;/citation.key43&gt;&lt;citation.value43&gt;145&lt;/citation.value43&gt;&lt;citation.key44&gt;Reporter.__PinPages.First._Pattern&lt;/citation.key44&gt;&lt;citation.value44&gt;FirstPageInRange.FirstPageInRange&lt;/citation.value44&gt;&lt;citation.key45&gt;Reporter.__PinPages.First.__PageNumber&lt;/citation.key45&gt;&lt;citation.value45&gt;145&lt;/citation.value45&gt;&lt;citation.key46&gt;Reporter.__PinPages._Pattern&lt;/citation.key46&gt;&lt;citation.value46&gt;PinPages.PinPages&lt;/citation.value46&gt;&lt;citation.key47&gt;Reporter.at&lt;/citation.key47&gt;&lt;citation.value47&gt;at&lt;/citation.value47&gt;&lt;citation.key48&gt;Reporter.page&lt;/citation.key48&gt;&lt;citation.value48&gt;page&lt;/citation.value48&gt;&lt;citation.key49&gt;RequiredComma&lt;/citation.key49&gt;&lt;citation.value49&gt;, &lt;/citation.value49&gt;&lt;citation.key50&gt;RequiredComma.Comma&lt;/citation.key50&gt;&lt;citation.value50&gt;,&lt;/citation.value50&gt;&lt;citation.key51&gt;RequiredComma._Pattern&lt;/citation.key51&gt;&lt;citation.value51&gt;RequiredComma.RequiredComma&lt;/citation.value51&gt;&lt;citation.key52&gt;supra&lt;/citation.key52&gt;&lt;citation.value52&gt;&lt;/citation.value52&gt;&lt;citation.key53&gt;supra.,&lt;/citation.key53&gt;&lt;citation.value53&gt;, &lt;/citation.value53&gt;&lt;citation.key54&gt;supra._Pattern&lt;/citation.key54&gt;&lt;citation.value54&gt;ShortCaseSupra.ShortCaseSupra&lt;/citation.value54&gt;&lt;citation.key55&gt;supra.supra&lt;/citation.key55&gt;&lt;citation.value55&gt;supra&lt;/citation.value55&gt;&lt;/citation&gt;_x000a_"/>
    <w:docVar w:name="CITRUS_BOOKMARK111[0]" w:val="&lt;#1&gt;&lt;citation&gt;&lt;citation._original_string&gt;Id. at 145&lt;/citation._original_string&gt;&lt;citation._current_string&gt;Schiller &amp; Schmidt v. Nordisco Corp., 969 F.2d 410, 145 (7th Cir. 1992)&lt;/citation._current_string&gt;&lt;citation._full_string&gt;Schiller &amp; Schmidt v. Nordisco Corp., 969 F.2d 410, 145 (7th Cir. 1992)&lt;/citation._full_string&gt;&lt;citation._current_format&gt;Full.CaseCitation&lt;/citation._current_format&gt;&lt;citation.name&gt;&lt;/citation.name&gt;&lt;citation.key0&gt;CaseName&lt;/citation.key0&gt;&lt;citation.value0&gt;Schiller &amp; Schmidt v. Nordisco Corp. &lt;/citation.value0&gt;&lt;citation.key1&gt;CaseName.FirstParty&lt;/citation.key1&gt;&lt;citation.value1&gt;Schiller &amp; Schmidt &lt;/citation.value1&gt;&lt;citation.key2&gt;CaseName.FirstParty.Party&lt;/citation.key2&gt;&lt;citation.value2&gt;Schiller &amp; Schmidt&lt;/citation.value2&gt;&lt;citation.key3&gt;CaseName.FirstParty._Pattern&lt;/citation.key3&gt;&lt;citation.value3&gt;Party.Party&lt;/citation.value3&gt;&lt;citation.key4&gt;CaseName.SecondParty&lt;/citation.key4&gt;&lt;citation.value4&gt;Nordisco Corp. &lt;/citation.value4&gt;&lt;citation.key5&gt;CaseName.SecondParty.Party&lt;/citation.key5&gt;&lt;citation.value5&gt;Nordisco Corp.&lt;/citation.value5&gt;&lt;citation.key6&gt;CaseName.SecondParty._Pattern&lt;/citation.key6&gt;&lt;citation.value6&gt;Party.Party&lt;/citation.value6&gt;&lt;citation.key7&gt;CaseName._Pattern&lt;/citation.key7&gt;&lt;citation.value7&gt;ShortCaseName.ShortCaseName&lt;/citation.value7&gt;&lt;citation.key8&gt;CaseName.v&lt;/citation.key8&gt;&lt;citation.value8&gt;v.&lt;/citation.value8&gt;&lt;citation.key9&gt;CourtParenthetical&lt;/citation.key9&gt;&lt;citation.value9&gt; (7th Cir. 1992) &lt;/citation.value9&gt;&lt;citation.key10&gt;CourtParenthetical.CourtName&lt;/citation.key10&gt;&lt;citation.value10&gt;7th Cir. &lt;/citation.value10&gt;&lt;citation.key11&gt;CourtParenthetical.CourtName.CourtName&lt;/citation.key11&gt;&lt;citation.value11&gt;7th Cir.&lt;/citation.value11&gt;&lt;citation.key12&gt;CourtParenthetical.CourtName._Pattern&lt;/citation.key12&gt;&lt;citation.value12&gt;CourtName.CourtName&lt;/citation.value12&gt;&lt;citation.key13&gt;CourtParenthetical.Date&lt;/citation.key13&gt;&lt;citation.value13&gt;1992 &lt;/citation.value13&gt;&lt;citation.key14&gt;CourtParenthetical.Date.Year&lt;/citation.key14&gt;&lt;citation.value14&gt;1992 &lt;/citation.value14&gt;&lt;citation.key15&gt;CourtParenthetical.Date.Year.Year&lt;/citation.key15&gt;&lt;citation.value15&gt;1992&lt;/citation.value15&gt;&lt;citation.key16&gt;CourtParenthetical.Date.Year._Pattern&lt;/citation.key16&gt;&lt;citation.value16&gt;Year.Year&lt;/citation.value16&gt;&lt;citation.key17&gt;CourtParenthetical.Date._Pattern&lt;/citation.key17&gt;&lt;citation.value17&gt;Date.Date&lt;/citation.value17&gt;&lt;citation.key18&gt;CourtParenthetical.ForbiddenComma._Pattern&lt;/citation.key18&gt;&lt;citation.value18&gt;ForbiddenComma.ForbiddenComma&lt;/citation.value18&gt;&lt;citation.key19&gt;CourtParenthetical.Switch ( [ L&lt;/citation.key19&gt;&lt;citation.value19&gt; (&lt;/citation.value19&gt;&lt;citation.key20&gt;CourtParenthetical.Switch ( [ L.(&lt;/citation.key20&gt;&lt;citation.value20&gt;(&lt;/citation.value20&gt;&lt;citation.key21&gt;CourtParenthetical.Switch ( [ L._Pattern&lt;/citation.key21&gt;&lt;citation.value21&gt;Switch ( [ L.Switch ( [ L&lt;/citation.value21&gt;&lt;citation.key22&gt;CourtParenthetical.Switch ) ] R&lt;/citation.key22&gt;&lt;citation.value22&gt;) &lt;/citation.value22&gt;&lt;citation.key23&gt;CourtParenthetical.Switch ) ] R.)&lt;/citation.key23&gt;&lt;citation.value23&gt;)&lt;/citation.value23&gt;&lt;citation.key24&gt;CourtParenthetical.Switch ) ] R._Pattern&lt;/citation.key24&gt;&lt;citation.value24&gt;Switch ) ] R.Switch ) ] R&lt;/citation.value24&gt;&lt;citation.key25&gt;CourtParenthetical._Pattern&lt;/citation.key25&gt;&lt;citation.value25&gt;CourtParenthetical.CourtParenthetical&lt;/citation.value25&gt;&lt;citation.key26&gt;Id&lt;/citation.key26&gt;&lt;citation.value26&gt;Id. &lt;/citation.value26&gt;&lt;citation.key27&gt;Id.ForbiddenComma._Pattern&lt;/citation.key27&gt;&lt;citation.value27&gt;ForbiddenComma.ForbiddenComma&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969 F.2d at 145&lt;/citation.value32&gt;&lt;citation.key33&gt;Reporter.FirstPage&lt;/citation.key33&gt;&lt;citation.value33&gt;410&lt;/citation.value33&gt;&lt;citation.key34&gt;Reporter.Name&lt;/citation.key34&gt;&lt;citation.value34&gt;F.2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969&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145&lt;/citation.value42&gt;&lt;citation.key43&gt;Reporter.__PinPages.First&lt;/citation.key43&gt;&lt;citation.value43&gt;145&lt;/citation.value43&gt;&lt;citation.key44&gt;Reporter.__PinPages.First._Pattern&lt;/citation.key44&gt;&lt;citation.value44&gt;FirstPageInRange.FirstPageInRange&lt;/citation.value44&gt;&lt;citation.key45&gt;Reporter.__PinPages.First.__PageNumber&lt;/citation.key45&gt;&lt;citation.value45&gt;145&lt;/citation.value45&gt;&lt;citation.key46&gt;Reporter.__PinPages._Pattern&lt;/citation.key46&gt;&lt;citation.value46&gt;PinPages.PinPages&lt;/citation.value46&gt;&lt;citation.key47&gt;Reporter.at&lt;/citation.key47&gt;&lt;citation.value47&gt;at&lt;/citation.value47&gt;&lt;citation.key48&gt;Reporter.page&lt;/citation.key48&gt;&lt;citation.value48&gt;page&lt;/citation.value48&gt;&lt;citation.key49&gt;RequiredComma&lt;/citation.key49&gt;&lt;citation.value49&gt;, &lt;/citation.value49&gt;&lt;citation.key50&gt;RequiredComma.Comma&lt;/citation.key50&gt;&lt;citation.value50&gt;,&lt;/citation.value50&gt;&lt;citation.key51&gt;RequiredComma._Pattern&lt;/citation.key51&gt;&lt;citation.value51&gt;RequiredComma.RequiredComma&lt;/citation.value51&gt;&lt;citation.key52&gt;supra&lt;/citation.key52&gt;&lt;citation.value52&gt;&lt;/citation.value52&gt;&lt;citation.key53&gt;supra.,&lt;/citation.key53&gt;&lt;citation.value53&gt;, &lt;/citation.value53&gt;&lt;citation.key54&gt;supra._Pattern&lt;/citation.key54&gt;&lt;citation.value54&gt;ShortCaseSupra.ShortCaseSupra&lt;/citation.value54&gt;&lt;citation.key55&gt;supra.supra&lt;/citation.key55&gt;&lt;citation.value55&gt;supra&lt;/citation.value55&gt;&lt;/citation&gt;_x000a_"/>
    <w:docVar w:name="CITRUS_BOOKMARK112[0]" w:val="&lt;#1&gt;&lt;citation&gt;&lt;citation._original_string&gt;Id. at 145&lt;/citation._original_string&gt;&lt;citation._current_string&gt;Schiller &amp; Schmidt v. Nordisco Corp., 969 F.2d 410, 145 (7th Cir. 1992)&lt;/citation._current_string&gt;&lt;citation._full_string&gt;Schiller &amp; Schmidt v. Nordisco Corp., 969 F.2d 410, 145 (7th Cir. 1992)&lt;/citation._full_string&gt;&lt;citation._current_format&gt;Full.CaseCitation&lt;/citation._current_format&gt;&lt;citation.name&gt;&lt;/citation.name&gt;&lt;citation.key0&gt;CaseName&lt;/citation.key0&gt;&lt;citation.value0&gt;Schiller &amp; Schmidt v. Nordisco Corp. &lt;/citation.value0&gt;&lt;citation.key1&gt;CaseName.FirstParty&lt;/citation.key1&gt;&lt;citation.value1&gt;Schiller &amp; Schmidt &lt;/citation.value1&gt;&lt;citation.key2&gt;CaseName.FirstParty.Party&lt;/citation.key2&gt;&lt;citation.value2&gt;Schiller &amp; Schmidt&lt;/citation.value2&gt;&lt;citation.key3&gt;CaseName.FirstParty._Pattern&lt;/citation.key3&gt;&lt;citation.value3&gt;Party.Party&lt;/citation.value3&gt;&lt;citation.key4&gt;CaseName.SecondParty&lt;/citation.key4&gt;&lt;citation.value4&gt;Nordisco Corp. &lt;/citation.value4&gt;&lt;citation.key5&gt;CaseName.SecondParty.Party&lt;/citation.key5&gt;&lt;citation.value5&gt;Nordisco Corp.&lt;/citation.value5&gt;&lt;citation.key6&gt;CaseName.SecondParty._Pattern&lt;/citation.key6&gt;&lt;citation.value6&gt;Party.Party&lt;/citation.value6&gt;&lt;citation.key7&gt;CaseName._Pattern&lt;/citation.key7&gt;&lt;citation.value7&gt;ShortCaseName.ShortCaseName&lt;/citation.value7&gt;&lt;citation.key8&gt;CaseName.v&lt;/citation.key8&gt;&lt;citation.value8&gt;v.&lt;/citation.value8&gt;&lt;citation.key9&gt;CourtParenthetical&lt;/citation.key9&gt;&lt;citation.value9&gt; (7th Cir. 1992) &lt;/citation.value9&gt;&lt;citation.key10&gt;CourtParenthetical.CourtName&lt;/citation.key10&gt;&lt;citation.value10&gt;7th Cir. &lt;/citation.value10&gt;&lt;citation.key11&gt;CourtParenthetical.CourtName.CourtName&lt;/citation.key11&gt;&lt;citation.value11&gt;7th Cir.&lt;/citation.value11&gt;&lt;citation.key12&gt;CourtParenthetical.CourtName._Pattern&lt;/citation.key12&gt;&lt;citation.value12&gt;CourtName.CourtName&lt;/citation.value12&gt;&lt;citation.key13&gt;CourtParenthetical.Date&lt;/citation.key13&gt;&lt;citation.value13&gt;1992 &lt;/citation.value13&gt;&lt;citation.key14&gt;CourtParenthetical.Date.Year&lt;/citation.key14&gt;&lt;citation.value14&gt;1992 &lt;/citation.value14&gt;&lt;citation.key15&gt;CourtParenthetical.Date.Year.Year&lt;/citation.key15&gt;&lt;citation.value15&gt;1992&lt;/citation.value15&gt;&lt;citation.key16&gt;CourtParenthetical.Date.Year._Pattern&lt;/citation.key16&gt;&lt;citation.value16&gt;Year.Year&lt;/citation.value16&gt;&lt;citation.key17&gt;CourtParenthetical.Date._Pattern&lt;/citation.key17&gt;&lt;citation.value17&gt;Date.Date&lt;/citation.value17&gt;&lt;citation.key18&gt;CourtParenthetical.ForbiddenComma._Pattern&lt;/citation.key18&gt;&lt;citation.value18&gt;ForbiddenComma.ForbiddenComma&lt;/citation.value18&gt;&lt;citation.key19&gt;CourtParenthetical.Switch ( [ L&lt;/citation.key19&gt;&lt;citation.value19&gt; (&lt;/citation.value19&gt;&lt;citation.key20&gt;CourtParenthetical.Switch ( [ L.(&lt;/citation.key20&gt;&lt;citation.value20&gt;(&lt;/citation.value20&gt;&lt;citation.key21&gt;CourtParenthetical.Switch ( [ L._Pattern&lt;/citation.key21&gt;&lt;citation.value21&gt;Switch ( [ L.Switch ( [ L&lt;/citation.value21&gt;&lt;citation.key22&gt;CourtParenthetical.Switch ) ] R&lt;/citation.key22&gt;&lt;citation.value22&gt;) &lt;/citation.value22&gt;&lt;citation.key23&gt;CourtParenthetical.Switch ) ] R.)&lt;/citation.key23&gt;&lt;citation.value23&gt;)&lt;/citation.value23&gt;&lt;citation.key24&gt;CourtParenthetical.Switch ) ] R._Pattern&lt;/citation.key24&gt;&lt;citation.value24&gt;Switch ) ] R.Switch ) ] R&lt;/citation.value24&gt;&lt;citation.key25&gt;CourtParenthetical._Pattern&lt;/citation.key25&gt;&lt;citation.value25&gt;CourtParenthetical.CourtParenthetical&lt;/citation.value25&gt;&lt;citation.key26&gt;Id&lt;/citation.key26&gt;&lt;citation.value26&gt;Id. &lt;/citation.value26&gt;&lt;citation.key27&gt;Id.ForbiddenComma._Pattern&lt;/citation.key27&gt;&lt;citation.value27&gt;ForbiddenComma.ForbiddenComma&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969 F.2d at 145&lt;/citation.value32&gt;&lt;citation.key33&gt;Reporter.FirstPage&lt;/citation.key33&gt;&lt;citation.value33&gt;410&lt;/citation.value33&gt;&lt;citation.key34&gt;Reporter.Name&lt;/citation.key34&gt;&lt;citation.value34&gt;F.2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969&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145&lt;/citation.value42&gt;&lt;citation.key43&gt;Reporter.__PinPages.First&lt;/citation.key43&gt;&lt;citation.value43&gt;145&lt;/citation.value43&gt;&lt;citation.key44&gt;Reporter.__PinPages.First._Pattern&lt;/citation.key44&gt;&lt;citation.value44&gt;FirstPageInRange.FirstPageInRange&lt;/citation.value44&gt;&lt;citation.key45&gt;Reporter.__PinPages.First.__PageNumber&lt;/citation.key45&gt;&lt;citation.value45&gt;145&lt;/citation.value45&gt;&lt;citation.key46&gt;Reporter.__PinPages._Pattern&lt;/citation.key46&gt;&lt;citation.value46&gt;PinPages.PinPages&lt;/citation.value46&gt;&lt;citation.key47&gt;Reporter.at&lt;/citation.key47&gt;&lt;citation.value47&gt;at&lt;/citation.value47&gt;&lt;citation.key48&gt;Reporter.page&lt;/citation.key48&gt;&lt;citation.value48&gt;page&lt;/citation.value48&gt;&lt;citation.key49&gt;RequiredComma&lt;/citation.key49&gt;&lt;citation.value49&gt;, &lt;/citation.value49&gt;&lt;citation.key50&gt;RequiredComma.Comma&lt;/citation.key50&gt;&lt;citation.value50&gt;,&lt;/citation.value50&gt;&lt;citation.key51&gt;RequiredComma._Pattern&lt;/citation.key51&gt;&lt;citation.value51&gt;RequiredComma.RequiredComma&lt;/citation.value51&gt;&lt;citation.key52&gt;supra&lt;/citation.key52&gt;&lt;citation.value52&gt;&lt;/citation.value52&gt;&lt;citation.key53&gt;supra.,&lt;/citation.key53&gt;&lt;citation.value53&gt;, &lt;/citation.value53&gt;&lt;citation.key54&gt;supra._Pattern&lt;/citation.key54&gt;&lt;citation.value54&gt;ShortCaseSupra.ShortCaseSupra&lt;/citation.value54&gt;&lt;citation.key55&gt;supra.supra&lt;/citation.key55&gt;&lt;citation.value55&gt;supra&lt;/citation.value55&gt;&lt;/citation&gt;_x000a_"/>
    <w:docVar w:name="CITRUS_BOOKMARK113[0]" w:val="&lt;#1&gt;&lt;citation&gt;&lt;citation._original_string&gt;Id. at 145&lt;/citation._original_string&gt;&lt;citation._current_string&gt;Schiller &amp; Schmidt v. Nordisco Corp., 969 F.2d 410, 145 (7th Cir. 1992)&lt;/citation._current_string&gt;&lt;citation._full_string&gt;Schiller &amp; Schmidt v. Nordisco Corp., 969 F.2d 410, 145 (7th Cir. 1992)&lt;/citation._full_string&gt;&lt;citation._current_format&gt;Full.CaseCitation&lt;/citation._current_format&gt;&lt;citation.name&gt;&lt;/citation.name&gt;&lt;citation.key0&gt;CaseName&lt;/citation.key0&gt;&lt;citation.value0&gt;Schiller &amp; Schmidt v. Nordisco Corp. &lt;/citation.value0&gt;&lt;citation.key1&gt;CaseName.FirstParty&lt;/citation.key1&gt;&lt;citation.value1&gt;Schiller &amp; Schmidt &lt;/citation.value1&gt;&lt;citation.key2&gt;CaseName.FirstParty.Party&lt;/citation.key2&gt;&lt;citation.value2&gt;Schiller &amp; Schmidt&lt;/citation.value2&gt;&lt;citation.key3&gt;CaseName.FirstParty._Pattern&lt;/citation.key3&gt;&lt;citation.value3&gt;Party.Party&lt;/citation.value3&gt;&lt;citation.key4&gt;CaseName.SecondParty&lt;/citation.key4&gt;&lt;citation.value4&gt;Nordisco Corp. &lt;/citation.value4&gt;&lt;citation.key5&gt;CaseName.SecondParty.Party&lt;/citation.key5&gt;&lt;citation.value5&gt;Nordisco Corp.&lt;/citation.value5&gt;&lt;citation.key6&gt;CaseName.SecondParty._Pattern&lt;/citation.key6&gt;&lt;citation.value6&gt;Party.Party&lt;/citation.value6&gt;&lt;citation.key7&gt;CaseName._Pattern&lt;/citation.key7&gt;&lt;citation.value7&gt;ShortCaseName.ShortCaseName&lt;/citation.value7&gt;&lt;citation.key8&gt;CaseName.v&lt;/citation.key8&gt;&lt;citation.value8&gt;v.&lt;/citation.value8&gt;&lt;citation.key9&gt;CourtParenthetical&lt;/citation.key9&gt;&lt;citation.value9&gt; (7th Cir. 1992) &lt;/citation.value9&gt;&lt;citation.key10&gt;CourtParenthetical.CourtName&lt;/citation.key10&gt;&lt;citation.value10&gt;7th Cir. &lt;/citation.value10&gt;&lt;citation.key11&gt;CourtParenthetical.CourtName.CourtName&lt;/citation.key11&gt;&lt;citation.value11&gt;7th Cir.&lt;/citation.value11&gt;&lt;citation.key12&gt;CourtParenthetical.CourtName._Pattern&lt;/citation.key12&gt;&lt;citation.value12&gt;CourtName.CourtName&lt;/citation.value12&gt;&lt;citation.key13&gt;CourtParenthetical.Date&lt;/citation.key13&gt;&lt;citation.value13&gt;1992 &lt;/citation.value13&gt;&lt;citation.key14&gt;CourtParenthetical.Date.Year&lt;/citation.key14&gt;&lt;citation.value14&gt;1992 &lt;/citation.value14&gt;&lt;citation.key15&gt;CourtParenthetical.Date.Year.Year&lt;/citation.key15&gt;&lt;citation.value15&gt;1992&lt;/citation.value15&gt;&lt;citation.key16&gt;CourtParenthetical.Date.Year._Pattern&lt;/citation.key16&gt;&lt;citation.value16&gt;Year.Year&lt;/citation.value16&gt;&lt;citation.key17&gt;CourtParenthetical.Date._Pattern&lt;/citation.key17&gt;&lt;citation.value17&gt;Date.Date&lt;/citation.value17&gt;&lt;citation.key18&gt;CourtParenthetical.ForbiddenComma._Pattern&lt;/citation.key18&gt;&lt;citation.value18&gt;ForbiddenComma.ForbiddenComma&lt;/citation.value18&gt;&lt;citation.key19&gt;CourtParenthetical.Switch ( [ L&lt;/citation.key19&gt;&lt;citation.value19&gt; (&lt;/citation.value19&gt;&lt;citation.key20&gt;CourtParenthetical.Switch ( [ L.(&lt;/citation.key20&gt;&lt;citation.value20&gt;(&lt;/citation.value20&gt;&lt;citation.key21&gt;CourtParenthetical.Switch ( [ L._Pattern&lt;/citation.key21&gt;&lt;citation.value21&gt;Switch ( [ L.Switch ( [ L&lt;/citation.value21&gt;&lt;citation.key22&gt;CourtParenthetical.Switch ) ] R&lt;/citation.key22&gt;&lt;citation.value22&gt;) &lt;/citation.value22&gt;&lt;citation.key23&gt;CourtParenthetical.Switch ) ] R.)&lt;/citation.key23&gt;&lt;citation.value23&gt;)&lt;/citation.value23&gt;&lt;citation.key24&gt;CourtParenthetical.Switch ) ] R._Pattern&lt;/citation.key24&gt;&lt;citation.value24&gt;Switch ) ] R.Switch ) ] R&lt;/citation.value24&gt;&lt;citation.key25&gt;CourtParenthetical._Pattern&lt;/citation.key25&gt;&lt;citation.value25&gt;CourtParenthetical.CourtParenthetical&lt;/citation.value25&gt;&lt;citation.key26&gt;Id&lt;/citation.key26&gt;&lt;citation.value26&gt;Id. &lt;/citation.value26&gt;&lt;citation.key27&gt;Id.ForbiddenComma._Pattern&lt;/citation.key27&gt;&lt;citation.value27&gt;ForbiddenComma.ForbiddenComma&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969 F.2d at 145&lt;/citation.value32&gt;&lt;citation.key33&gt;Reporter.FirstPage&lt;/citation.key33&gt;&lt;citation.value33&gt;410&lt;/citation.value33&gt;&lt;citation.key34&gt;Reporter.Name&lt;/citation.key34&gt;&lt;citation.value34&gt;F.2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969&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145&lt;/citation.value42&gt;&lt;citation.key43&gt;Reporter.__PinPages.First&lt;/citation.key43&gt;&lt;citation.value43&gt;145&lt;/citation.value43&gt;&lt;citation.key44&gt;Reporter.__PinPages.First._Pattern&lt;/citation.key44&gt;&lt;citation.value44&gt;FirstPageInRange.FirstPageInRange&lt;/citation.value44&gt;&lt;citation.key45&gt;Reporter.__PinPages.First.__PageNumber&lt;/citation.key45&gt;&lt;citation.value45&gt;145&lt;/citation.value45&gt;&lt;citation.key46&gt;Reporter.__PinPages._Pattern&lt;/citation.key46&gt;&lt;citation.value46&gt;PinPages.PinPages&lt;/citation.value46&gt;&lt;citation.key47&gt;Reporter.at&lt;/citation.key47&gt;&lt;citation.value47&gt;at&lt;/citation.value47&gt;&lt;citation.key48&gt;Reporter.page&lt;/citation.key48&gt;&lt;citation.value48&gt;page&lt;/citation.value48&gt;&lt;citation.key49&gt;RequiredComma&lt;/citation.key49&gt;&lt;citation.value49&gt;, &lt;/citation.value49&gt;&lt;citation.key50&gt;RequiredComma.Comma&lt;/citation.key50&gt;&lt;citation.value50&gt;,&lt;/citation.value50&gt;&lt;citation.key51&gt;RequiredComma._Pattern&lt;/citation.key51&gt;&lt;citation.value51&gt;RequiredComma.RequiredComma&lt;/citation.value51&gt;&lt;citation.key52&gt;supra&lt;/citation.key52&gt;&lt;citation.value52&gt;&lt;/citation.value52&gt;&lt;citation.key53&gt;supra.,&lt;/citation.key53&gt;&lt;citation.value53&gt;, &lt;/citation.value53&gt;&lt;citation.key54&gt;supra._Pattern&lt;/citation.key54&gt;&lt;citation.value54&gt;ShortCaseSupra.ShortCaseSupra&lt;/citation.value54&gt;&lt;citation.key55&gt;supra.supra&lt;/citation.key55&gt;&lt;citation.value55&gt;supra&lt;/citation.value55&gt;&lt;/citation&gt;_x000a_"/>
    <w:docVar w:name="CITRUS_BOOKMARK115[0]" w:val="&lt;#1&gt;&lt;citation&gt;&lt;citation._original_string&gt;Id. at 66-67&lt;/citation._original_string&gt;&lt;citation._current_string&gt;Schiller &amp; Schmidt v. Nordisco Corp., 969 F.2d 410, 66-67 (7th Cir. 1992)&lt;/citation._current_string&gt;&lt;citation._full_string&gt;Schiller &amp; Schmidt v. Nordisco Corp., 969 F.2d 410, 66-67 (7th Cir. 1992)&lt;/citation._full_string&gt;&lt;citation._current_format&gt;Full.CaseCitation&lt;/citation._current_format&gt;&lt;citation.name&gt;&lt;/citation.name&gt;&lt;citation.key0&gt;CaseName&lt;/citation.key0&gt;&lt;citation.value0&gt;Schiller &amp; Schmidt v. Nordisco Corp. &lt;/citation.value0&gt;&lt;citation.key1&gt;CaseName.FirstParty&lt;/citation.key1&gt;&lt;citation.value1&gt;Schiller &amp; Schmidt &lt;/citation.value1&gt;&lt;citation.key2&gt;CaseName.FirstParty.Party&lt;/citation.key2&gt;&lt;citation.value2&gt;Schiller &amp; Schmidt&lt;/citation.value2&gt;&lt;citation.key3&gt;CaseName.FirstParty._Pattern&lt;/citation.key3&gt;&lt;citation.value3&gt;Party.Party&lt;/citation.value3&gt;&lt;citation.key4&gt;CaseName.SecondParty&lt;/citation.key4&gt;&lt;citation.value4&gt;Nordisco Corp. &lt;/citation.value4&gt;&lt;citation.key5&gt;CaseName.SecondParty.Party&lt;/citation.key5&gt;&lt;citation.value5&gt;Nordisco Corp.&lt;/citation.value5&gt;&lt;citation.key6&gt;CaseName.SecondParty._Pattern&lt;/citation.key6&gt;&lt;citation.value6&gt;Party.Party&lt;/citation.value6&gt;&lt;citation.key7&gt;CaseName._Pattern&lt;/citation.key7&gt;&lt;citation.value7&gt;ShortCaseName.ShortCaseName&lt;/citation.value7&gt;&lt;citation.key8&gt;CaseName.v&lt;/citation.key8&gt;&lt;citation.value8&gt;v.&lt;/citation.value8&gt;&lt;citation.key9&gt;CourtParenthetical&lt;/citation.key9&gt;&lt;citation.value9&gt; (7th Cir. 1992) &lt;/citation.value9&gt;&lt;citation.key10&gt;CourtParenthetical.CourtName&lt;/citation.key10&gt;&lt;citation.value10&gt;7th Cir. &lt;/citation.value10&gt;&lt;citation.key11&gt;CourtParenthetical.CourtName.CourtName&lt;/citation.key11&gt;&lt;citation.value11&gt;7th Cir.&lt;/citation.value11&gt;&lt;citation.key12&gt;CourtParenthetical.CourtName._Pattern&lt;/citation.key12&gt;&lt;citation.value12&gt;CourtName.CourtName&lt;/citation.value12&gt;&lt;citation.key13&gt;CourtParenthetical.Date&lt;/citation.key13&gt;&lt;citation.value13&gt;1992 &lt;/citation.value13&gt;&lt;citation.key14&gt;CourtParenthetical.Date.Year&lt;/citation.key14&gt;&lt;citation.value14&gt;1992 &lt;/citation.value14&gt;&lt;citation.key15&gt;CourtParenthetical.Date.Year.Year&lt;/citation.key15&gt;&lt;citation.value15&gt;1992&lt;/citation.value15&gt;&lt;citation.key16&gt;CourtParenthetical.Date.Year._Pattern&lt;/citation.key16&gt;&lt;citation.value16&gt;Year.Year&lt;/citation.value16&gt;&lt;citation.key17&gt;CourtParenthetical.Date._Pattern&lt;/citation.key17&gt;&lt;citation.value17&gt;Date.Date&lt;/citation.value17&gt;&lt;citation.key18&gt;CourtParenthetical.ForbiddenComma._Pattern&lt;/citation.key18&gt;&lt;citation.value18&gt;ForbiddenComma.ForbiddenComma&lt;/citation.value18&gt;&lt;citation.key19&gt;CourtParenthetical.Switch ( [ L&lt;/citation.key19&gt;&lt;citation.value19&gt; (&lt;/citation.value19&gt;&lt;citation.key20&gt;CourtParenthetical.Switch ( [ L.(&lt;/citation.key20&gt;&lt;citation.value20&gt;(&lt;/citation.value20&gt;&lt;citation.key21&gt;CourtParenthetical.Switch ( [ L._Pattern&lt;/citation.key21&gt;&lt;citation.value21&gt;Switch ( [ L.Switch ( [ L&lt;/citation.value21&gt;&lt;citation.key22&gt;CourtParenthetical.Switch ) ] R&lt;/citation.key22&gt;&lt;citation.value22&gt;) &lt;/citation.value22&gt;&lt;citation.key23&gt;CourtParenthetical.Switch ) ] R.)&lt;/citation.key23&gt;&lt;citation.value23&gt;)&lt;/citation.value23&gt;&lt;citation.key24&gt;CourtParenthetical.Switch ) ] R._Pattern&lt;/citation.key24&gt;&lt;citation.value24&gt;Switch ) ] R.Switch ) ] R&lt;/citation.value24&gt;&lt;citation.key25&gt;CourtParenthetical._Pattern&lt;/citation.key25&gt;&lt;citation.value25&gt;CourtParenthetical.CourtParenthetical&lt;/citation.value25&gt;&lt;citation.key26&gt;Id&lt;/citation.key26&gt;&lt;citation.value26&gt;Id. &lt;/citation.value26&gt;&lt;citation.key27&gt;Id.Id&lt;/citation.key27&gt;&lt;citation.value27&gt;Id.&lt;/citation.value27&gt;&lt;citation.key28&gt;Id._Pattern&lt;/citation.key28&gt;&lt;citation.value28&gt;IdGraph.IdGraph&lt;/citation.value28&gt;&lt;citation.key29&gt;NY L Paren&lt;/citation.key29&gt;&lt;citation.value29&gt;(&lt;/citation.value29&gt;&lt;citation.key30&gt;NY R Paren&lt;/citation.key30&gt;&lt;citation.value30&gt;)&lt;/citation.value30&gt;&lt;citation.key31&gt;Reporter&lt;/citation.key31&gt;&lt;citation.value31&gt;969 F.2d at 66-67 &lt;/citation.value31&gt;&lt;citation.key32&gt;Reporter.FirstPage&lt;/citation.key32&gt;&lt;citation.value32&gt;410&lt;/citation.value32&gt;&lt;citation.key33&gt;Reporter.Name&lt;/citation.key33&gt;&lt;citation.value33&gt;F.2d&lt;/citation.value33&gt;&lt;citation.key34&gt;Reporter.RequiredComma&lt;/citation.key34&gt;&lt;citation.value34&gt;, &lt;/citation.value34&gt;&lt;citation.key35&gt;Reporter.RequiredComma.Comma&lt;/citation.key35&gt;&lt;citation.value35&gt;,&lt;/citation.value35&gt;&lt;citation.key36&gt;Reporter.RequiredComma._Pattern&lt;/citation.key36&gt;&lt;citation.value36&gt;RequiredComma.RequiredComma&lt;/citation.value36&gt;&lt;citation.key37&gt;Reporter.Volume&lt;/citation.key37&gt;&lt;citation.value37&gt;969&lt;/citation.value37&gt;&lt;citation.key38&gt;Reporter.[&lt;/citation.key38&gt;&lt;citation.value38&gt;[&lt;/citation.value38&gt;&lt;citation.key39&gt;Reporter.]&lt;/citation.key39&gt;&lt;citation.value39&gt;]&lt;/citation.value39&gt;&lt;citation.key40&gt;Reporter._Pattern&lt;/citation.key40&gt;&lt;citation.value40&gt;ShortReporter.ShortReporter&lt;/citation.value40&gt;&lt;citation.key41&gt;Reporter.__PinPages&lt;/citation.key41&gt;&lt;citation.value41&gt;66-67 &lt;/citation.value41&gt;&lt;citation.key42&gt;Reporter.__PinPages.First&lt;/citation.key42&gt;&lt;citation.value42&gt;66&lt;/citation.value42&gt;&lt;citation.key43&gt;Reporter.__PinPages.First._Pattern&lt;/citation.key43&gt;&lt;citation.value43&gt;FirstPageInRange.FirstPageInRange&lt;/citation.value43&gt;&lt;citation.key44&gt;Reporter.__PinPages.First.__PageNumber&lt;/citation.key44&gt;&lt;citation.value44&gt;66&lt;/citation.value44&gt;&lt;citation.key45&gt;Reporter.__PinPages.Last&lt;/citation.key45&gt;&lt;citation.value45&gt;67 &lt;/citation.value45&gt;&lt;citation.key46&gt;Reporter.__PinPages.Last.PageNumber&lt;/citation.key46&gt;&lt;citation.value46&gt;67&lt;/citation.value46&gt;&lt;citation.key47&gt;Reporter.__PinPages.Last.PageNumber_Full&lt;/citation.key47&gt;&lt;citation.value47&gt;67&lt;/citation.value47&gt;&lt;citation.key48&gt;Reporter.__PinPages.Last._Pattern&lt;/citation.key48&gt;&lt;citation.value48&gt;LastPageNumber.LastPageNumber&lt;/citation.value48&gt;&lt;citation.key49&gt;Reporter.__PinPages.RangeDash&lt;/citation.key49&gt;&lt;citation.value49&gt;-&lt;/citation.value49&gt;&lt;citation.key50&gt;Reporter.__PinPages._Pattern&lt;/citation.key50&gt;&lt;citation.value50&gt;PinPages.PinPages&lt;/citation.value50&gt;&lt;citation.key51&gt;Reporter.page&lt;/citation.key51&gt;&lt;citation.value51&gt;pages&lt;/citation.value51&gt;&lt;citation.key52&gt;RequiredComma&lt;/citation.key52&gt;&lt;citation.value52&gt;, &lt;/citation.value52&gt;&lt;citation.key53&gt;RequiredComma.Comma&lt;/citation.key53&gt;&lt;citation.value53&gt;,&lt;/citation.value53&gt;&lt;citation.key54&gt;RequiredComma._Pattern&lt;/citation.key54&gt;&lt;citation.value54&gt;RequiredComma.RequiredComma&lt;/citation.value54&gt;&lt;citation.key55&gt;supra&lt;/citation.key55&gt;&lt;citation.value55&gt;&lt;/citation.value55&gt;&lt;citation.key56&gt;supra.,&lt;/citation.key56&gt;&lt;citation.value56&gt;, &lt;/citation.value56&gt;&lt;citation.key57&gt;supra._Pattern&lt;/citation.key57&gt;&lt;citation.value57&gt;ShortCaseSupra.ShortCaseSupra&lt;/citation.value57&gt;&lt;citation.key58&gt;supra.supra&lt;/citation.key58&gt;&lt;citation.value58&gt;supra&lt;/citation.value58&gt;&lt;/citation&gt;_x000a_"/>
    <w:docVar w:name="CITRUS_BOOKMARK116[0]" w:val="&lt;#1&gt;&lt;citation&gt;&lt;citation._original_string&gt;Id. at 67&lt;/citation._original_string&gt;&lt;citation._current_string&gt;Id. at 67&lt;/citation._current_string&gt;&lt;citation._full_string&gt;Schiller &amp; Schmidt v. Nordisco Corp., 969 F.2d 410, 67 (7th Cir. 1992)&lt;/citation._full_string&gt;&lt;citation._current_format&gt;Id.CaseId&lt;/citation._current_format&gt;&lt;citation.name&gt;&lt;/citation.name&gt;&lt;citation.key0&gt;CaseName&lt;/citation.key0&gt;&lt;citation.value0&gt;Schiller &amp; Schmidt v. Nordisco Corp. &lt;/citation.value0&gt;&lt;citation.key1&gt;CaseName.FirstParty&lt;/citation.key1&gt;&lt;citation.value1&gt;Schiller &amp; Schmidt &lt;/citation.value1&gt;&lt;citation.key2&gt;CaseName.FirstParty.Party&lt;/citation.key2&gt;&lt;citation.value2&gt;Schiller &amp; Schmidt&lt;/citation.value2&gt;&lt;citation.key3&gt;CaseName.FirstParty._Pattern&lt;/citation.key3&gt;&lt;citation.value3&gt;Party.Party&lt;/citation.value3&gt;&lt;citation.key4&gt;CaseName.SecondParty&lt;/citation.key4&gt;&lt;citation.value4&gt;Nordisco Corp. &lt;/citation.value4&gt;&lt;citation.key5&gt;CaseName.SecondParty.Party&lt;/citation.key5&gt;&lt;citation.value5&gt;Nordisco Corp.&lt;/citation.value5&gt;&lt;citation.key6&gt;CaseName.SecondParty._Pattern&lt;/citation.key6&gt;&lt;citation.value6&gt;Party.Party&lt;/citation.value6&gt;&lt;citation.key7&gt;CaseName._Pattern&lt;/citation.key7&gt;&lt;citation.value7&gt;ShortCaseName.ShortCaseName&lt;/citation.value7&gt;&lt;citation.key8&gt;CaseName.v&lt;/citation.key8&gt;&lt;citation.value8&gt;v.&lt;/citation.value8&gt;&lt;citation.key9&gt;CourtParenthetical&lt;/citation.key9&gt;&lt;citation.value9&gt; (7th Cir. 1992) &lt;/citation.value9&gt;&lt;citation.key10&gt;CourtParenthetical.CourtName&lt;/citation.key10&gt;&lt;citation.value10&gt;7th Cir. &lt;/citation.value10&gt;&lt;citation.key11&gt;CourtParenthetical.CourtName.CourtName&lt;/citation.key11&gt;&lt;citation.value11&gt;7th Cir.&lt;/citation.value11&gt;&lt;citation.key12&gt;CourtParenthetical.CourtName._Pattern&lt;/citation.key12&gt;&lt;citation.value12&gt;CourtName.CourtName&lt;/citation.value12&gt;&lt;citation.key13&gt;CourtParenthetical.Date&lt;/citation.key13&gt;&lt;citation.value13&gt;1992 &lt;/citation.value13&gt;&lt;citation.key14&gt;CourtParenthetical.Date.Year&lt;/citation.key14&gt;&lt;citation.value14&gt;1992 &lt;/citation.value14&gt;&lt;citation.key15&gt;CourtParenthetical.Date.Year.Year&lt;/citation.key15&gt;&lt;citation.value15&gt;1992&lt;/citation.value15&gt;&lt;citation.key16&gt;CourtParenthetical.Date.Year._Pattern&lt;/citation.key16&gt;&lt;citation.value16&gt;Year.Year&lt;/citation.value16&gt;&lt;citation.key17&gt;CourtParenthetical.Date._Pattern&lt;/citation.key17&gt;&lt;citation.value17&gt;Date.Date&lt;/citation.value17&gt;&lt;citation.key18&gt;CourtParenthetical.ForbiddenComma._Pattern&lt;/citation.key18&gt;&lt;citation.value18&gt;ForbiddenComma.ForbiddenComma&lt;/citation.value18&gt;&lt;citation.key19&gt;CourtParenthetical.Switch ( [ L&lt;/citation.key19&gt;&lt;citation.value19&gt; (&lt;/citation.value19&gt;&lt;citation.key20&gt;CourtParenthetical.Switch ( [ L.(&lt;/citation.key20&gt;&lt;citation.value20&gt;(&lt;/citation.value20&gt;&lt;citation.key21&gt;CourtParenthetical.Switch ( [ L._Pattern&lt;/citation.key21&gt;&lt;citation.value21&gt;Switch ( [ L.Switch ( [ L&lt;/citation.value21&gt;&lt;citation.key22&gt;CourtParenthetical.Switch ) ] R&lt;/citation.key22&gt;&lt;citation.value22&gt;) &lt;/citation.value22&gt;&lt;citation.key23&gt;CourtParenthetical.Switch ) ] R.)&lt;/citation.key23&gt;&lt;citation.value23&gt;)&lt;/citation.value23&gt;&lt;citation.key24&gt;CourtParenthetical.Switch ) ] R._Pattern&lt;/citation.key24&gt;&lt;citation.value24&gt;Switch ) ] R.Switch ) ] R&lt;/citation.value24&gt;&lt;citation.key25&gt;CourtParenthetical._Pattern&lt;/citation.key25&gt;&lt;citation.value25&gt;CourtParenthetical.CourtParenthetical&lt;/citation.value25&gt;&lt;citation.key26&gt;Id&lt;/citation.key26&gt;&lt;citation.value26&gt;Id. &lt;/citation.value26&gt;&lt;citation.key27&gt;Id.ForbiddenComma._Pattern&lt;/citation.key27&gt;&lt;citation.value27&gt;ForbiddenComma.ForbiddenComma&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969 F.2d at 67&lt;/citation.value32&gt;&lt;citation.key33&gt;Reporter.FirstPage&lt;/citation.key33&gt;&lt;citation.value33&gt;410&lt;/citation.value33&gt;&lt;citation.key34&gt;Reporter.Name&lt;/citation.key34&gt;&lt;citation.value34&gt;F.2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969&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67&lt;/citation.value42&gt;&lt;citation.key43&gt;Reporter.__PinPages.First&lt;/citation.key43&gt;&lt;citation.value43&gt;67&lt;/citation.value43&gt;&lt;citation.key44&gt;Reporter.__PinPages.First._Pattern&lt;/citation.key44&gt;&lt;citation.value44&gt;FirstPageInRange.FirstPageInRange&lt;/citation.value44&gt;&lt;citation.key45&gt;Reporter.__PinPages.First.__PageNumber&lt;/citation.key45&gt;&lt;citation.value45&gt;67&lt;/citation.value45&gt;&lt;citation.key46&gt;Reporter.__PinPages._Pattern&lt;/citation.key46&gt;&lt;citation.value46&gt;PinPages.PinPages&lt;/citation.value46&gt;&lt;citation.key47&gt;Reporter.at&lt;/citation.key47&gt;&lt;citation.value47&gt;at&lt;/citation.value47&gt;&lt;citation.key48&gt;Reporter.page&lt;/citation.key48&gt;&lt;citation.value48&gt;page&lt;/citation.value48&gt;&lt;citation.key49&gt;RequiredComma&lt;/citation.key49&gt;&lt;citation.value49&gt;, &lt;/citation.value49&gt;&lt;citation.key50&gt;RequiredComma.Comma&lt;/citation.key50&gt;&lt;citation.value50&gt;,&lt;/citation.value50&gt;&lt;citation.key51&gt;RequiredComma._Pattern&lt;/citation.key51&gt;&lt;citation.value51&gt;RequiredComma.RequiredComma&lt;/citation.value51&gt;&lt;citation.key52&gt;supra&lt;/citation.key52&gt;&lt;citation.value52&gt;&lt;/citation.value52&gt;&lt;citation.key53&gt;supra.,&lt;/citation.key53&gt;&lt;citation.value53&gt;, &lt;/citation.value53&gt;&lt;citation.key54&gt;supra._Pattern&lt;/citation.key54&gt;&lt;citation.value54&gt;ShortCaseSupra.ShortCaseSupra&lt;/citation.value54&gt;&lt;citation.key55&gt;supra.supra&lt;/citation.key55&gt;&lt;citation.value55&gt;supra&lt;/citation.value55&gt;&lt;/citation&gt;_x000a_"/>
    <w:docVar w:name="CITRUS_BOOKMARK119[0]" w:val="&lt;#1&gt;&lt;citation&gt;&lt;citation._original_string&gt;Pasquantino v. United States, 544 U.S. 349, 383 (2005)&lt;/citation._original_string&gt;&lt;citation._current_string&gt;Pasquantino v. United States, 544 U.S. 349, 383 (2005)&lt;/citation._current_string&gt;&lt;citation._full_string&gt;Pasquantino v. United States, 544 U.S. 349, 383 (2005)&lt;/citation._full_string&gt;&lt;citation._current_format&gt;Full.CaseCitation&lt;/citation._current_format&gt;&lt;citation.name&gt;&lt;/citation.name&gt;&lt;citation.key0&gt;,&lt;/citation.key0&gt;&lt;citation.value0&gt;,&lt;/citation.value0&gt;&lt;citation.key1&gt;CaseName.FirstParty.Party&lt;/citation.key1&gt;&lt;citation.value1&gt;Pasquantino&lt;/citation.value1&gt;&lt;citation.key2&gt;CaseName.FirstParty._Pattern&lt;/citation.key2&gt;&lt;citation.value2&gt;Party.Party&lt;/citation.value2&gt;&lt;citation.key3&gt;CaseName.SecondParty.Party&lt;/citation.key3&gt;&lt;citation.value3&gt;United States&lt;/citation.value3&gt;&lt;citation.key4&gt;CaseName.SecondParty._Pattern&lt;/citation.key4&gt;&lt;citation.value4&gt;Party.Party&lt;/citation.value4&gt;&lt;citation.key5&gt;CourtParenthetical&lt;/citation.key5&gt;&lt;citation.value5&gt; (2005) &lt;/citation.value5&gt;&lt;citation.key6&gt;CourtParenthetical.Date.Year.Year&lt;/citation.key6&gt;&lt;citation.value6&gt;2005&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Pasquantino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44 U.S. 349, 383&lt;/citation.value23&gt;&lt;citation.key24&gt;Reporter.FirstPage&lt;/citation.key24&gt;&lt;citation.value24&gt;349&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544&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383&lt;/citation.value33&gt;&lt;citation.key34&gt;Reporter.__PinPages.First&lt;/citation.key34&gt;&lt;citation.value34&gt;383&lt;/citation.value34&gt;&lt;citation.key35&gt;Reporter.__PinPages.First._Pattern&lt;/citation.key35&gt;&lt;citation.value35&gt;FirstPageInRange.FirstPageInRange&lt;/citation.value35&gt;&lt;citation.key36&gt;Reporter.__PinPages.First.__PageNumber&lt;/citation.key36&gt;&lt;citation.value36&gt;383&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United States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120[0]" w:val="&lt;#1&gt;&lt;citation&gt;&lt;citation._original_string&gt;Leocal v. Ashcroft, 543 U.S. 1, 11 n.8 (2004)&lt;/citation._original_string&gt;&lt;citation._current_string&gt;Leocal v. Ashcroft, 543 U.S. 1, 11 n.8 (2004)&lt;/citation._current_string&gt;&lt;citation._full_string&gt;Leocal v. Ashcroft, 543 U.S. 1, 11 n.8 (2004)&lt;/citation._full_string&gt;&lt;citation._current_format&gt;Full.CaseCitation&lt;/citation._current_format&gt;&lt;citation.name&gt;&lt;/citation.name&gt;&lt;citation.key0&gt;,&lt;/citation.key0&gt;&lt;citation.value0&gt;,&lt;/citation.value0&gt;&lt;citation.key1&gt;CaseName.FirstParty.Party&lt;/citation.key1&gt;&lt;citation.value1&gt;Leocal&lt;/citation.value1&gt;&lt;citation.key2&gt;CaseName.FirstParty._Pattern&lt;/citation.key2&gt;&lt;citation.value2&gt;Party.Party&lt;/citation.value2&gt;&lt;citation.key3&gt;CaseName.SecondParty.Party&lt;/citation.key3&gt;&lt;citation.value3&gt;Ashcroft&lt;/citation.value3&gt;&lt;citation.key4&gt;CaseName.SecondParty._Pattern&lt;/citation.key4&gt;&lt;citation.value4&gt;Party.Party&lt;/citation.value4&gt;&lt;citation.key5&gt;CourtParenthetical&lt;/citation.key5&gt;&lt;citation.value5&gt; (2004) &lt;/citation.value5&gt;&lt;citation.key6&gt;CourtParenthetical.Date.Year.Year&lt;/citation.key6&gt;&lt;citation.value6&gt;2004&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Leocal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43 U.S. 1, 11 n.8&lt;/citation.value23&gt;&lt;citation.key24&gt;Reporter.FirstPage&lt;/citation.key24&gt;&lt;citation.value24&gt;1&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543&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11 n.8&lt;/citation.value33&gt;&lt;citation.key34&gt;Reporter.__PinPages.First&lt;/citation.key34&gt;&lt;citation.value34&gt;11&lt;/citation.value34&gt;&lt;citation.key35&gt;Reporter.__PinPages.First._Pattern&lt;/citation.key35&gt;&lt;citation.value35&gt;FirstPageInRange.FirstPageInRange&lt;/citation.value35&gt;&lt;citation.key36&gt;Reporter.__PinPages.First.__PageNumber&lt;/citation.key36&gt;&lt;citation.value36&gt;11&lt;/citation.value36&gt;&lt;citation.key37&gt;Reporter.__PinPages.FnList&lt;/citation.key37&gt;&lt;citation.value37&gt; n.8&lt;/citation.value37&gt;&lt;citation.key38&gt;Reporter.__PinPages.FnList.FirstFn&lt;/citation.key38&gt;&lt;citation.value38&gt;8&lt;/citation.value38&gt;&lt;citation.key39&gt;Reporter.__PinPages.FnList.FirstFn.First&lt;/citation.key39&gt;&lt;citation.value39&gt;8&lt;/citation.value39&gt;&lt;citation.key40&gt;Reporter.__PinPages.FnList.FirstFn.First.ArabicFn&lt;/citation.key40&gt;&lt;citation.value40&gt;8&lt;/citation.value40&gt;&lt;citation.key41&gt;Reporter.__PinPages.FnList.FirstFn.First._Pattern&lt;/citation.key41&gt;&lt;citation.value41&gt;FirstFnNumber.FirstFnNumber&lt;/citation.value41&gt;&lt;citation.key42&gt;Reporter.__PinPages.FnList.FirstFn._Pattern&lt;/citation.key42&gt;&lt;citation.value42&gt;FnScalarOrRange.FnScalarOrRange&lt;/citation.value42&gt;&lt;citation.key43&gt;Reporter.__PinPages.FnList._Pattern&lt;/citation.key43&gt;&lt;citation.value43&gt;FnList.FnList&lt;/citation.value43&gt;&lt;citation.key44&gt;Reporter.__PinPages.FnList.n_or_nn&lt;/citation.key44&gt;&lt;citation.value44&gt;1&lt;/citation.value44&gt;&lt;citation.key45&gt;Reporter.__PinPages._Pattern&lt;/citation.key45&gt;&lt;citation.value45&gt;PinPages.PinPages&lt;/citation.value45&gt;&lt;citation.key46&gt;Reporter.page&lt;/citation.key46&gt;&lt;citation.value46&gt;page&lt;/citation.value46&gt;&lt;citation.key47&gt;RequiredComma&lt;/citation.key47&gt;&lt;citation.value47&gt;, &lt;/citation.value47&gt;&lt;citation.key48&gt;RequiredComma._Pattern&lt;/citation.key48&gt;&lt;citation.value48&gt;RequiredComma.RequiredComma&lt;/citation.value48&gt;&lt;citation.key49&gt;SecondParty&lt;/citation.key49&gt;&lt;citation.value49&gt;Ashcroft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121[0]" w:val="&lt;#1&gt;&lt;citation&gt;&lt;citation._original_string&gt;See Armento v. Laser Image, 950 F. Supp. 719 (1996)&lt;/citation._original_string&gt;&lt;citation._current_string&gt;See Armento v. Laser Image, 950 F. Supp. 719 (1996)&lt;/citation._current_string&gt;&lt;citation._full_string&gt;see Armento v. Laser Image, 950 F. Supp. 719 (1996)&lt;/citation._full_string&gt;&lt;citation._current_format&gt;Full.CaseCitation&lt;/citation._current_format&gt;&lt;citation.name&gt;&lt;/citation.name&gt;&lt;citation.key0&gt;,&lt;/citation.key0&gt;&lt;citation.value0&gt;,&lt;/citation.value0&gt;&lt;citation.key1&gt;CaseName&lt;/citation.key1&gt;&lt;citation.value1&gt;Armento v. Laser Image &lt;/citation.value1&gt;&lt;citation.key2&gt;CaseName.FirstParty&lt;/citation.key2&gt;&lt;citation.value2&gt;Armento &lt;/citation.value2&gt;&lt;citation.key3&gt;CaseName.FirstParty.Party&lt;/citation.key3&gt;&lt;citation.value3&gt;Armento&lt;/citation.value3&gt;&lt;citation.key4&gt;CaseName.FirstParty._Pattern&lt;/citation.key4&gt;&lt;citation.value4&gt;Party.Party&lt;/citation.value4&gt;&lt;citation.key5&gt;CaseName.SecondParty&lt;/citation.key5&gt;&lt;citation.value5&gt;Laser Image &lt;/citation.value5&gt;&lt;citation.key6&gt;CaseName.SecondParty.Party&lt;/citation.key6&gt;&lt;citation.value6&gt;Laser Image&lt;/citation.value6&gt;&lt;citation.key7&gt;CaseName.SecondParty._Pattern&lt;/citation.key7&gt;&lt;citation.value7&gt;Party.Party&lt;/citation.value7&gt;&lt;citation.key8&gt;CaseName._Pattern&lt;/citation.key8&gt;&lt;citation.value8&gt;CaseName.CaseName&lt;/citation.value8&gt;&lt;citation.key9&gt;CaseName.v&lt;/citation.key9&gt;&lt;citation.value9&gt;v.&lt;/citation.value9&gt;&lt;citation.key10&gt;CourtParenthetical&lt;/citation.key10&gt;&lt;citation.value10&gt; (1996) &lt;/citation.value10&gt;&lt;citation.key11&gt;CourtParenthetical.Date&lt;/citation.key11&gt;&lt;citation.value11&gt;1996 &lt;/citation.value11&gt;&lt;citation.key12&gt;CourtParenthetical.Date.Year&lt;/citation.key12&gt;&lt;citation.value12&gt;1996 &lt;/citation.value12&gt;&lt;citation.key13&gt;CourtParenthetical.Date.Year.Year&lt;/citation.key13&gt;&lt;citation.value13&gt;1996&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Id&lt;/citation.key24&gt;&lt;citation.value24&gt;Id. &lt;/citation.value24&gt;&lt;citation.key25&gt;Id.Id&lt;/citation.key25&gt;&lt;citation.value25&gt;Id.&lt;/citation.value25&gt;&lt;citation.key26&gt;Id._Pattern&lt;/citation.key26&gt;&lt;citation.value26&gt;IdGraph.IdGraph&lt;/citation.value26&gt;&lt;citation.key27&gt;NY L Paren&lt;/citation.key27&gt;&lt;citation.value27&gt;(&lt;/citation.value27&gt;&lt;citation.key28&gt;NY R Paren&lt;/citation.key28&gt;&lt;citation.value28&gt;)&lt;/citation.value28&gt;&lt;citation.key29&gt;Reporter&lt;/citation.key29&gt;&lt;citation.value29&gt;950 F. Supp. 719 &lt;/citation.value29&gt;&lt;citation.key30&gt;Reporter.FirstPage&lt;/citation.key30&gt;&lt;citation.value30&gt;719&lt;/citation.value30&gt;&lt;citation.key31&gt;Reporter.Name&lt;/citation.key31&gt;&lt;citation.value31&gt;F. Supp.&lt;/citation.value31&gt;&lt;citation.key32&gt;Reporter.Volume&lt;/citation.key32&gt;&lt;citation.value32&gt;950&lt;/citation.value32&gt;&lt;citation.key33&gt;Reporter.[&lt;/citation.key33&gt;&lt;citation.value33&gt;[&lt;/citation.value33&gt;&lt;citation.key34&gt;Reporter.]&lt;/citation.key34&gt;&lt;citation.value34&gt;]&lt;/citation.value34&gt;&lt;citation.key35&gt;Reporter._Pattern&lt;/citation.key35&gt;&lt;citation.value35&gt;Reporter.Reporter&lt;/citation.value35&gt;&lt;citation.key36&gt;Reporter.page&lt;/citation.key36&gt;&lt;citation.value36&gt;page&lt;/citation.value36&gt;&lt;citation.key37&gt;__Signal&lt;/citation.key37&gt;&lt;citation.value37&gt;see &lt;/citation.value37&gt;&lt;citation.key38&gt;__Signal.ForbiddenComma._Pattern&lt;/citation.key38&gt;&lt;citation.value38&gt;ForbiddenComma.ForbiddenComma&lt;/citation.value38&gt;&lt;citation.key39&gt;__Signal.See&lt;/citation.key39&gt;&lt;citation.value39&gt;see&lt;/citation.value39&gt;&lt;citation.key40&gt;__Signal._Pattern&lt;/citation.key40&gt;&lt;citation.value40&gt;Signal.Signal&lt;/citation.value40&gt;&lt;citation.key41&gt;supra&lt;/citation.key41&gt;&lt;citation.value41&gt;&lt;/citation.value41&gt;&lt;citation.key42&gt;supra.,&lt;/citation.key42&gt;&lt;citation.value42&gt;, &lt;/citation.value42&gt;&lt;citation.key43&gt;supra._Pattern&lt;/citation.key43&gt;&lt;citation.value43&gt;ShortCaseSupra.ShortCaseSupra&lt;/citation.value43&gt;&lt;citation.key44&gt;supra.supra&lt;/citation.key44&gt;&lt;citation.value44&gt;supra&lt;/citation.value44&gt;&lt;/citation&gt;_x000a_"/>
    <w:docVar w:name="CITRUS_BOOKMARK122[0]" w:val="&lt;#1&gt;&lt;citation&gt;&lt;citation._original_string&gt;Playboy Enters. v. Dumas, 53 F.3d 549, 559&lt;/citation._original_string&gt;&lt;citation._current_string&gt;Playboy Enters. v. Dumas, 53 F.3d 549, 559 (?YEAR?)&lt;/citation._current_string&gt;&lt;citation._full_string&gt;Playboy Enters. v. Dumas, 53 F.3d 549, 559 (?YEAR?)&lt;/citation._full_string&gt;&lt;citation._current_format&gt;Full.CaseCitation&lt;/citation._current_format&gt;&lt;citation.name&gt;&lt;/citation.name&gt;&lt;citation.key0&gt;,&lt;/citation.key0&gt;&lt;citation.value0&gt;,&lt;/citation.value0&gt;&lt;citation.key1&gt;CaseName&lt;/citation.key1&gt;&lt;citation.value1&gt;Playboy Enters. v. Dumas &lt;/citation.value1&gt;&lt;citation.key2&gt;CaseName.FirstParty&lt;/citation.key2&gt;&lt;citation.value2&gt;Playboy Enters. &lt;/citation.value2&gt;&lt;citation.key3&gt;CaseName.FirstParty.Party&lt;/citation.key3&gt;&lt;citation.value3&gt;Playboy Enters.&lt;/citation.value3&gt;&lt;citation.key4&gt;CaseName.FirstParty._Pattern&lt;/citation.key4&gt;&lt;citation.value4&gt;Party.Party&lt;/citation.value4&gt;&lt;citation.key5&gt;CaseName.SecondParty&lt;/citation.key5&gt;&lt;citation.value5&gt;Dumas &lt;/citation.value5&gt;&lt;citation.key6&gt;CaseName.SecondParty.Party&lt;/citation.key6&gt;&lt;citation.value6&gt;Dumas&lt;/citation.value6&gt;&lt;citation.key7&gt;CaseName.SecondParty._Pattern&lt;/citation.key7&gt;&lt;citation.value7&gt;Party.Party&lt;/citation.value7&gt;&lt;citation.key8&gt;CaseName._Pattern&lt;/citation.key8&gt;&lt;citation.value8&gt;CaseName.CaseName&lt;/citation.value8&gt;&lt;citation.key9&gt;CaseName.v&lt;/citation.key9&gt;&lt;citation.value9&gt;v.&lt;/citation.value9&gt;&lt;citation.key10&gt;CourtParenthetical&lt;/citation.key10&gt;&lt;citation.value10&gt; (?YEAR?) &lt;/citation.value10&gt;&lt;citation.key11&gt;CourtParenthetical.(&lt;/citation.key11&gt;&lt;citation.value11&gt;(&lt;/citation.value11&gt;&lt;citation.key12&gt;CourtParenthetical.)&lt;/citation.key12&gt;&lt;citation.value12&gt;)&lt;/citation.value12&gt;&lt;citation.key13&gt;CourtParenthetical.Date&lt;/citation.key13&gt;&lt;citation.value13&gt;?YEAR?&lt;/citation.value13&gt;&lt;citation.key14&gt;CourtParenthetical.Date.Year&lt;/citation.key14&gt;&lt;citation.value14&gt;?YEAR?&lt;/citation.value14&gt;&lt;citation.key15&gt;CourtParenthetical.Date.Year.Year&lt;/citation.key15&gt;&lt;citation.value15&gt;?YEAR?&lt;/citation.value15&gt;&lt;citation.key16&gt;CourtParenthetical.Date.Year._Pattern&lt;/citation.key16&gt;&lt;citation.value16&gt;CourtParenthetical.Date.Year.Year&lt;/citation.value16&gt;&lt;citation.key17&gt;CourtParenthetical.Date._Pattern&lt;/citation.key17&gt;&lt;citation.value17&gt;CourtParenthetical.Date.Date&lt;/citation.value17&gt;&lt;citation.key18&gt;CourtParenthetical.ForbiddenComma._Pattern&lt;/citation.key18&gt;&lt;citation.value18&gt;ForbiddenComma.ForbiddenComma&lt;/citation.value18&gt;&lt;citation.key19&gt;CourtParenthetical._Pattern&lt;/citation.key19&gt;&lt;citation.value19&gt;CourtParenthetical.CourtParenthetical&lt;/citation.value19&gt;&lt;citation.key20&gt;Id&lt;/citation.key20&gt;&lt;citation.value20&gt;Id. &lt;/citation.value20&gt;&lt;citation.key21&gt;Id.Id&lt;/citation.key21&gt;&lt;citation.value21&gt;Id.&lt;/citation.value21&gt;&lt;citation.key22&gt;Id._Pattern&lt;/citation.key22&gt;&lt;citation.value22&gt;IdGraph.IdGraph&lt;/citation.value22&gt;&lt;citation.key23&gt;NY L Paren&lt;/citation.key23&gt;&lt;citation.value23&gt;(&lt;/citation.value23&gt;&lt;citation.key24&gt;NY R Paren&lt;/citation.key24&gt;&lt;citation.value24&gt;)&lt;/citation.value24&gt;&lt;citation.key25&gt;Reporter&lt;/citation.key25&gt;&lt;citation.value25&gt;53 F.3d 549, 559&lt;/citation.value25&gt;&lt;citation.key26&gt;Reporter.FirstPage&lt;/citation.key26&gt;&lt;citation.value26&gt;549&lt;/citation.value26&gt;&lt;citation.key27&gt;Reporter.Name&lt;/citation.key27&gt;&lt;citation.value27&gt;F.3d&lt;/citation.value27&gt;&lt;citation.key28&gt;Reporter.RequiredComma&lt;/citation.key28&gt;&lt;citation.value28&gt;, &lt;/citation.value28&gt;&lt;citation.key29&gt;Reporter.RequiredComma.Comma&lt;/citation.key29&gt;&lt;citation.value29&gt;,&lt;/citation.value29&gt;&lt;citation.key30&gt;Reporter.RequiredComma._Pattern&lt;/citation.key30&gt;&lt;citation.value30&gt;RequiredComma.RequiredComma&lt;/citation.value30&gt;&lt;citation.key31&gt;Reporter.Volume&lt;/citation.key31&gt;&lt;citation.value31&gt;53&lt;/citation.value31&gt;&lt;citation.key32&gt;Reporter.[&lt;/citation.key32&gt;&lt;citation.value32&gt;[&lt;/citation.value32&gt;&lt;citation.key33&gt;Reporter.]&lt;/citation.key33&gt;&lt;citation.value33&gt;]&lt;/citation.value33&gt;&lt;citation.key34&gt;Reporter._Pattern&lt;/citation.key34&gt;&lt;citation.value34&gt;Reporter.Reporter&lt;/citation.value34&gt;&lt;citation.key35&gt;Reporter.__PinPages&lt;/citation.key35&gt;&lt;citation.value35&gt;559&lt;/citation.value35&gt;&lt;citation.key36&gt;Reporter.__PinPages.First&lt;/citation.key36&gt;&lt;citation.value36&gt;559&lt;/citation.value36&gt;&lt;citation.key37&gt;Reporter.__PinPages.First._Pattern&lt;/citation.key37&gt;&lt;citation.value37&gt;FirstPageInRange.FirstPageInRange&lt;/citation.value37&gt;&lt;citation.key38&gt;Reporter.__PinPages.First.__PageNumber&lt;/citation.key38&gt;&lt;citation.value38&gt;559&lt;/citation.value38&gt;&lt;citation.key39&gt;Reporter.__PinPages._Pattern&lt;/citation.key39&gt;&lt;citation.value39&gt;PinPages.PinPages&lt;/citation.value39&gt;&lt;citation.key40&gt;Reporter.page&lt;/citation.key40&gt;&lt;citation.value40&gt;page&lt;/citation.value40&gt;&lt;citation.key41&gt;supra&lt;/citation.key41&gt;&lt;citation.value41&gt;&lt;/citation.value41&gt;&lt;citation.key42&gt;supra.,&lt;/citation.key42&gt;&lt;citation.value42&gt;, &lt;/citation.value42&gt;&lt;citation.key43&gt;supra._Pattern&lt;/citation.key43&gt;&lt;citation.value43&gt;ShortCaseSupra.ShortCaseSupra&lt;/citation.value43&gt;&lt;citation.key44&gt;supra.supra&lt;/citation.key44&gt;&lt;citation.value44&gt;supra&lt;/citation.value44&gt;&lt;/citation&gt;_x000a_"/>
    <w:docVar w:name="CITRUS_BOOKMARK123[0]" w:val="&lt;#1&gt;&lt;citation&gt;&lt;citation._original_string&gt;Id. at 560&lt;/citation._original_string&gt;&lt;citation._current_string&gt;Id. at 560&lt;/citation._current_string&gt;&lt;citation._full_string&gt;Playboy Enters. v. Dumas, 53 F.3d 549, 560 (?YEAR?)&lt;/citation._full_string&gt;&lt;citation._current_format&gt;Id.CaseId&lt;/citation._current_format&gt;&lt;citation.name&gt;&lt;/citation.name&gt;&lt;citation.key0&gt;,&lt;/citation.key0&gt;&lt;citation.value0&gt;,&lt;/citation.value0&gt;&lt;citation.key1&gt;CaseName&lt;/citation.key1&gt;&lt;citation.value1&gt;Playboy Enters. v. Dumas &lt;/citation.value1&gt;&lt;citation.key2&gt;CaseName.FirstParty&lt;/citation.key2&gt;&lt;citation.value2&gt;Playboy Enters. &lt;/citation.value2&gt;&lt;citation.key3&gt;CaseName.FirstParty.Party&lt;/citation.key3&gt;&lt;citation.value3&gt;Playboy Enters.&lt;/citation.value3&gt;&lt;citation.key4&gt;CaseName.FirstParty._Pattern&lt;/citation.key4&gt;&lt;citation.value4&gt;Party.Party&lt;/citation.value4&gt;&lt;citation.key5&gt;CaseName.SecondParty&lt;/citation.key5&gt;&lt;citation.value5&gt;Dumas &lt;/citation.value5&gt;&lt;citation.key6&gt;CaseName.SecondParty.Party&lt;/citation.key6&gt;&lt;citation.value6&gt;Dumas&lt;/citation.value6&gt;&lt;citation.key7&gt;CaseName.SecondParty._Pattern&lt;/citation.key7&gt;&lt;citation.value7&gt;Party.Party&lt;/citation.value7&gt;&lt;citation.key8&gt;CaseName._Pattern&lt;/citation.key8&gt;&lt;citation.value8&gt;CaseName.CaseName&lt;/citation.value8&gt;&lt;citation.key9&gt;CaseName.v&lt;/citation.key9&gt;&lt;citation.value9&gt;v.&lt;/citation.value9&gt;&lt;citation.key10&gt;CourtParenthetical&lt;/citation.key10&gt;&lt;citation.value10&gt; (?YEAR?) &lt;/citation.value10&gt;&lt;citation.key11&gt;CourtParenthetical.(&lt;/citation.key11&gt;&lt;citation.value11&gt;(&lt;/citation.value11&gt;&lt;citation.key12&gt;CourtParenthetical.)&lt;/citation.key12&gt;&lt;citation.value12&gt;)&lt;/citation.value12&gt;&lt;citation.key13&gt;CourtParenthetical.Date&lt;/citation.key13&gt;&lt;citation.value13&gt;?YEAR?&lt;/citation.value13&gt;&lt;citation.key14&gt;CourtParenthetical.Date.Year&lt;/citation.key14&gt;&lt;citation.value14&gt;?YEAR?&lt;/citation.value14&gt;&lt;citation.key15&gt;CourtParenthetical.Date.Year.Year&lt;/citation.key15&gt;&lt;citation.value15&gt;?YEAR?&lt;/citation.value15&gt;&lt;citation.key16&gt;CourtParenthetical.Date.Year._Pattern&lt;/citation.key16&gt;&lt;citation.value16&gt;CourtParenthetical.Date.Year.Year&lt;/citation.value16&gt;&lt;citation.key17&gt;CourtParenthetical.Date._Pattern&lt;/citation.key17&gt;&lt;citation.value17&gt;CourtParenthetical.Date.Date&lt;/citation.value17&gt;&lt;citation.key18&gt;CourtParenthetical.ForbiddenComma._Pattern&lt;/citation.key18&gt;&lt;citation.value18&gt;ForbiddenComma.ForbiddenComma&lt;/citation.value18&gt;&lt;citation.key19&gt;CourtParenthetical._Pattern&lt;/citation.key19&gt;&lt;citation.value19&gt;CourtParenthetical.CourtParenthetical&lt;/citation.value19&gt;&lt;citation.key20&gt;Id&lt;/citation.key20&gt;&lt;citation.value20&gt;Id. &lt;/citation.value20&gt;&lt;citation.key21&gt;Id.ForbiddenComma._Pattern&lt;/citation.key21&gt;&lt;citation.value21&gt;ForbiddenComma.ForbiddenComma&lt;/citation.value21&gt;&lt;citation.key22&gt;Id.Id&lt;/citation.key22&gt;&lt;citation.value22&gt;Id.&lt;/citation.value22&gt;&lt;citation.key23&gt;Id._Pattern&lt;/citation.key23&gt;&lt;citation.value23&gt;IdGraph.IdGraph&lt;/citation.value23&gt;&lt;citation.key24&gt;NY L Paren&lt;/citation.key24&gt;&lt;citation.value24&gt;(&lt;/citation.value24&gt;&lt;citation.key25&gt;NY R Paren&lt;/citation.key25&gt;&lt;citation.value25&gt;)&lt;/citation.value25&gt;&lt;citation.key26&gt;Reporter&lt;/citation.key26&gt;&lt;citation.value26&gt;53 F.3d 549, 560&lt;/citation.value26&gt;&lt;citation.key27&gt;Reporter.FirstPage&lt;/citation.key27&gt;&lt;citation.value27&gt;549&lt;/citation.value27&gt;&lt;citation.key28&gt;Reporter.Name&lt;/citation.key28&gt;&lt;citation.value28&gt;F.3d&lt;/citation.value28&gt;&lt;citation.key29&gt;Reporter.RequiredComma&lt;/citation.key29&gt;&lt;citation.value29&gt;, &lt;/citation.value29&gt;&lt;citation.key30&gt;Reporter.RequiredComma.Comma&lt;/citation.key30&gt;&lt;citation.value30&gt;,&lt;/citation.value30&gt;&lt;citation.key31&gt;Reporter.RequiredComma._Pattern&lt;/citation.key31&gt;&lt;citation.value31&gt;RequiredComma.RequiredComma&lt;/citation.value31&gt;&lt;citation.key32&gt;Reporter.Volume&lt;/citation.key32&gt;&lt;citation.value32&gt;53&lt;/citation.value32&gt;&lt;citation.key33&gt;Reporter.[&lt;/citation.key33&gt;&lt;citation.value33&gt;[&lt;/citation.value33&gt;&lt;citation.key34&gt;Reporter.]&lt;/citation.key34&gt;&lt;citation.value34&gt;]&lt;/citation.value34&gt;&lt;citation.key35&gt;Reporter._Pattern&lt;/citation.key35&gt;&lt;citation.value35&gt;Reporter.Reporter&lt;/citation.value35&gt;&lt;citation.key36&gt;Reporter.__PinPages&lt;/citation.key36&gt;&lt;citation.value36&gt;560&lt;/citation.value36&gt;&lt;citation.key37&gt;Reporter.__PinPages.First&lt;/citation.key37&gt;&lt;citation.value37&gt;560&lt;/citation.value37&gt;&lt;citation.key38&gt;Reporter.__PinPages.First._Pattern&lt;/citation.key38&gt;&lt;citation.value38&gt;FirstPageInRange.FirstPageInRange&lt;/citation.value38&gt;&lt;citation.key39&gt;Reporter.__PinPages.First.__PageNumber&lt;/citation.key39&gt;&lt;citation.value39&gt;560&lt;/citation.value39&gt;&lt;citation.key40&gt;Reporter.__PinPages._Pattern&lt;/citation.key40&gt;&lt;citation.value40&gt;PinPages.PinPages&lt;/citation.value40&gt;&lt;citation.key41&gt;Reporter.at&lt;/citation.key41&gt;&lt;citation.value41&gt;at&lt;/citation.value41&gt;&lt;citation.key42&gt;Reporter.page&lt;/citation.key42&gt;&lt;citation.value42&gt;page&lt;/citation.value42&gt;&lt;citation.key43&gt;supra&lt;/citation.key43&gt;&lt;citation.value43&gt;&lt;/citation.value43&gt;&lt;citation.key44&gt;supra.,&lt;/citation.key44&gt;&lt;citation.value44&gt;, &lt;/citation.value44&gt;&lt;citation.key45&gt;supra._Pattern&lt;/citation.key45&gt;&lt;citation.value45&gt;ShortCaseSupra.ShortCaseSupra&lt;/citation.value45&gt;&lt;citation.key46&gt;supra.supra&lt;/citation.key46&gt;&lt;citation.value46&gt;supra&lt;/citation.value46&gt;&lt;/citation&gt;_x000a_"/>
    <w:docVar w:name="CITRUS_BOOKMARK125[0]" w:val="&lt;#1&gt;&lt;citation&gt;&lt;citation._original_string&gt;Schiller &amp; Schmidt v. Nordisco Corp., 969 F.2d 410, 412 (7th Cir. Ill. 1992)&lt;/citation._original_string&gt;&lt;citation._current_string&gt;Schiller &amp; Schmidt v. Nordisco Corp., 969 F.2d 410, 412 (7th Cir. 1992)&lt;/citation._current_string&gt;&lt;citation._full_string&gt;Schiller &amp; Schmidt v. Nordisco Corp., 969 F.2d 410, 412 (7th Cir. 1992)&lt;/citation._full_string&gt;&lt;citation._current_format&gt;Full.CaseCitation&lt;/citation._current_format&gt;&lt;citation.name&gt;&lt;/citation.name&gt;&lt;citation.key0&gt;,&lt;/citation.key0&gt;&lt;citation.value0&gt;,&lt;/citation.value0&gt;&lt;citation.key1&gt;CaseName&lt;/citation.key1&gt;&lt;citation.value1&gt;Schiller &amp; Schmidt v. Nordisco Corp. &lt;/citation.value1&gt;&lt;citation.key2&gt;CaseName.FirstParty&lt;/citation.key2&gt;&lt;citation.value2&gt;Schiller &amp; Schmidt &lt;/citation.value2&gt;&lt;citation.key3&gt;CaseName.FirstParty.Party&lt;/citation.key3&gt;&lt;citation.value3&gt;Schiller &amp; Schmidt&lt;/citation.value3&gt;&lt;citation.key4&gt;CaseName.FirstParty._Pattern&lt;/citation.key4&gt;&lt;citation.value4&gt;Party.Party&lt;/citation.value4&gt;&lt;citation.key5&gt;CaseName.SecondParty&lt;/citation.key5&gt;&lt;citation.value5&gt;Nordisco Corp. &lt;/citation.value5&gt;&lt;citation.key6&gt;CaseName.SecondParty.Party&lt;/citation.key6&gt;&lt;citation.value6&gt;Nordisco Corp.&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7th Cir. 1992) &lt;/citation.value10&gt;&lt;citation.key11&gt;CourtParenthetical.CourtName&lt;/citation.key11&gt;&lt;citation.value11&gt;7th Cir. &lt;/citation.value11&gt;&lt;citation.key12&gt;CourtParenthetical.CourtName.CourtName&lt;/citation.key12&gt;&lt;citation.value12&gt;7th Cir.&lt;/citation.value12&gt;&lt;citation.key13&gt;CourtParenthetical.CourtName._Pattern&lt;/citation.key13&gt;&lt;citation.value13&gt;CourtName.CourtName&lt;/citation.value13&gt;&lt;citation.key14&gt;CourtParenthetical.Date&lt;/citation.key14&gt;&lt;citation.value14&gt;1992 &lt;/citation.value14&gt;&lt;citation.key15&gt;CourtParenthetical.Date.Year&lt;/citation.key15&gt;&lt;citation.value15&gt;1992 &lt;/citation.value15&gt;&lt;citation.key16&gt;CourtParenthetical.Date.Year.Year&lt;/citation.key16&gt;&lt;citation.value16&gt;1992&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969 F.2d at 412&lt;/citation.value32&gt;&lt;citation.key33&gt;Reporter.FirstPage&lt;/citation.key33&gt;&lt;citation.value33&gt;410&lt;/citation.value33&gt;&lt;citation.key34&gt;Reporter.Name&lt;/citation.key34&gt;&lt;citation.value34&gt;F.2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969&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412&lt;/citation.value42&gt;&lt;citation.key43&gt;Reporter.__PinPages.First&lt;/citation.key43&gt;&lt;citation.value43&gt;412&lt;/citation.value43&gt;&lt;citation.key44&gt;Reporter.__PinPages.First._Pattern&lt;/citation.key44&gt;&lt;citation.value44&gt;FirstPageInRange.FirstPageInRange&lt;/citation.value44&gt;&lt;citation.key45&gt;Reporter.__PinPages.First.__PageNumber&lt;/citation.key45&gt;&lt;citation.value45&gt;412&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126[0]" w:val="&lt;#1&gt;&lt;citation&gt;&lt;citation._original_string&gt;Id. at 413&lt;/citation._original_string&gt;&lt;citation._current_string&gt;Id. at 413&lt;/citation._current_string&gt;&lt;citation._full_string&gt;Schiller &amp; Schmidt v. Nordisco Corp., 969 F.2d 410, 413 (7th Cir. 1992)&lt;/citation._full_string&gt;&lt;citation._current_format&gt;Id.CaseId&lt;/citation._current_format&gt;&lt;citation.name&gt;&lt;/citation.name&gt;&lt;citation.key0&gt;,&lt;/citation.key0&gt;&lt;citation.value0&gt;,&lt;/citation.value0&gt;&lt;citation.key1&gt;CaseName&lt;/citation.key1&gt;&lt;citation.value1&gt;Schiller &amp; Schmidt v. Nordisco Corp. &lt;/citation.value1&gt;&lt;citation.key2&gt;CaseName.FirstParty&lt;/citation.key2&gt;&lt;citation.value2&gt;Schiller &amp; Schmidt &lt;/citation.value2&gt;&lt;citation.key3&gt;CaseName.FirstParty.Party&lt;/citation.key3&gt;&lt;citation.value3&gt;Schiller &amp; Schmidt&lt;/citation.value3&gt;&lt;citation.key4&gt;CaseName.FirstParty._Pattern&lt;/citation.key4&gt;&lt;citation.value4&gt;Party.Party&lt;/citation.value4&gt;&lt;citation.key5&gt;CaseName.SecondParty&lt;/citation.key5&gt;&lt;citation.value5&gt;Nordisco Corp. &lt;/citation.value5&gt;&lt;citation.key6&gt;CaseName.SecondParty.Party&lt;/citation.key6&gt;&lt;citation.value6&gt;Nordisco Corp.&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7th Cir. 1992) &lt;/citation.value10&gt;&lt;citation.key11&gt;CourtParenthetical.CourtName&lt;/citation.key11&gt;&lt;citation.value11&gt;7th Cir. &lt;/citation.value11&gt;&lt;citation.key12&gt;CourtParenthetical.CourtName.CourtName&lt;/citation.key12&gt;&lt;citation.value12&gt;7th Cir.&lt;/citation.value12&gt;&lt;citation.key13&gt;CourtParenthetical.CourtName._Pattern&lt;/citation.key13&gt;&lt;citation.value13&gt;CourtName.CourtName&lt;/citation.value13&gt;&lt;citation.key14&gt;CourtParenthetical.Date&lt;/citation.key14&gt;&lt;citation.value14&gt;1992 &lt;/citation.value14&gt;&lt;citation.key15&gt;CourtParenthetical.Date.Year&lt;/citation.key15&gt;&lt;citation.value15&gt;1992 &lt;/citation.value15&gt;&lt;citation.key16&gt;CourtParenthetical.Date.Year.Year&lt;/citation.key16&gt;&lt;citation.value16&gt;1992&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ForbiddenComma._Pattern&lt;/citation.key28&gt;&lt;citation.value28&gt;ForbiddenComma.ForbiddenComma&lt;/citation.value28&gt;&lt;citation.key29&gt;Id.Id&lt;/citation.key29&gt;&lt;citation.value29&gt;Id.&lt;/citation.value29&gt;&lt;citation.key30&gt;Id._Pattern&lt;/citation.key30&gt;&lt;citation.value30&gt;IdGraph.IdGraph&lt;/citation.value30&gt;&lt;citation.key31&gt;NY L Paren&lt;/citation.key31&gt;&lt;citation.value31&gt;(&lt;/citation.value31&gt;&lt;citation.key32&gt;NY R Paren&lt;/citation.key32&gt;&lt;citation.value32&gt;)&lt;/citation.value32&gt;&lt;citation.key33&gt;Reporter&lt;/citation.key33&gt;&lt;citation.value33&gt;969 F.2d at 413&lt;/citation.value33&gt;&lt;citation.key34&gt;Reporter.FirstPage&lt;/citation.key34&gt;&lt;citation.value34&gt;410&lt;/citation.value34&gt;&lt;citation.key35&gt;Reporter.Name&lt;/citation.key35&gt;&lt;citation.value35&gt;F.2d&lt;/citation.value35&gt;&lt;citation.key36&gt;Reporter.RequiredComma&lt;/citation.key36&gt;&lt;citation.value36&gt;, &lt;/citation.value36&gt;&lt;citation.key37&gt;Reporter.RequiredComma.Comma&lt;/citation.key37&gt;&lt;citation.value37&gt;,&lt;/citation.value37&gt;&lt;citation.key38&gt;Reporter.RequiredComma._Pattern&lt;/citation.key38&gt;&lt;citation.value38&gt;RequiredComma.RequiredComma&lt;/citation.value38&gt;&lt;citation.key39&gt;Reporter.Volume&lt;/citation.key39&gt;&lt;citation.value39&gt;969&lt;/citation.value39&gt;&lt;citation.key40&gt;Reporter.[&lt;/citation.key40&gt;&lt;citation.value40&gt;[&lt;/citation.value40&gt;&lt;citation.key41&gt;Reporter.]&lt;/citation.key41&gt;&lt;citation.value41&gt;]&lt;/citation.value41&gt;&lt;citation.key42&gt;Reporter._Pattern&lt;/citation.key42&gt;&lt;citation.value42&gt;ShortReporter.ShortReporter&lt;/citation.value42&gt;&lt;citation.key43&gt;Reporter.__PinPages&lt;/citation.key43&gt;&lt;citation.value43&gt;413&lt;/citation.value43&gt;&lt;citation.key44&gt;Reporter.__PinPages.First&lt;/citation.key44&gt;&lt;citation.value44&gt;413&lt;/citation.value44&gt;&lt;citation.key45&gt;Reporter.__PinPages.First._Pattern&lt;/citation.key45&gt;&lt;citation.value45&gt;FirstPageInRange.FirstPageInRange&lt;/citation.value45&gt;&lt;citation.key46&gt;Reporter.__PinPages.First.__PageNumber&lt;/citation.key46&gt;&lt;citation.value46&gt;413&lt;/citation.value46&gt;&lt;citation.key47&gt;Reporter.__PinPages._Pattern&lt;/citation.key47&gt;&lt;citation.value47&gt;PinPages.PinPages&lt;/citation.value47&gt;&lt;citation.key48&gt;Reporter.at&lt;/citation.key48&gt;&lt;citation.value48&gt;at&lt;/citation.value48&gt;&lt;citation.key49&gt;Reporter.page&lt;/citation.key49&gt;&lt;citation.value49&gt;page&lt;/citation.value49&gt;&lt;citation.key50&gt;RequiredComma&lt;/citation.key50&gt;&lt;citation.value50&gt;, &lt;/citation.value50&gt;&lt;citation.key51&gt;RequiredComma.Comma&lt;/citation.key51&gt;&lt;citation.value51&gt;,&lt;/citation.value51&gt;&lt;citation.key52&gt;RequiredComma._Pattern&lt;/citation.key52&gt;&lt;citation.value52&gt;RequiredComma.RequiredComma&lt;/citation.value52&gt;&lt;citation.key53&gt;supra&lt;/citation.key53&gt;&lt;citation.value53&gt;&lt;/citation.value53&gt;&lt;citation.key54&gt;supra.,&lt;/citation.key54&gt;&lt;citation.value54&gt;, &lt;/citation.value54&gt;&lt;citation.key55&gt;supra._Pattern&lt;/citation.key55&gt;&lt;citation.value55&gt;ShortCaseSupra.ShortCaseSupra&lt;/citation.value55&gt;&lt;citation.key56&gt;supra.supra&lt;/citation.key56&gt;&lt;citation.value56&gt;supra&lt;/citation.value56&gt;&lt;/citation&gt;_x000a_"/>
    <w:docVar w:name="CITRUS_BOOKMARK127[0]" w:val="&lt;#1&gt;&lt;citation&gt;&lt;citation._original_string&gt;Playboy Enters. v. Dumas, 53 F.3d 549, 559&lt;/citation._original_string&gt;&lt;citation._current_string&gt;Playboy Enters. v. Dumas, 53 F.3d 549, 559 (1998)&lt;/citation._current_string&gt;&lt;citation._full_string&gt;Playboy Enters. v. Dumas, 53 F.3d 549, 559 (1998)&lt;/citation._full_string&gt;&lt;citation._current_format&gt;Full.CaseCitation&lt;/citation._current_format&gt;&lt;citation.name&gt;&lt;/citation.name&gt;&lt;citation.key0&gt;,&lt;/citation.key0&gt;&lt;citation.value0&gt;,&lt;/citation.value0&gt;&lt;citation.key1&gt;CaseName&lt;/citation.key1&gt;&lt;citation.value1&gt;Playboy Enters. v. Dumas &lt;/citation.value1&gt;&lt;citation.key2&gt;CaseName.FirstParty&lt;/citation.key2&gt;&lt;citation.value2&gt;Playboy Enters. &lt;/citation.value2&gt;&lt;citation.key3&gt;CaseName.FirstParty.Party&lt;/citation.key3&gt;&lt;citation.value3&gt;Playboy Enters.&lt;/citation.value3&gt;&lt;citation.key4&gt;CaseName.FirstParty._Pattern&lt;/citation.key4&gt;&lt;citation.value4&gt;Party.Party&lt;/citation.value4&gt;&lt;citation.key5&gt;CaseName.SecondParty&lt;/citation.key5&gt;&lt;citation.value5&gt;Dumas &lt;/citation.value5&gt;&lt;citation.key6&gt;CaseName.SecondParty.Party&lt;/citation.key6&gt;&lt;citation.value6&gt;Dumas&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98) &lt;/citation.value10&gt;&lt;citation.key11&gt;CourtParenthetical.(&lt;/citation.key11&gt;&lt;citation.value11&gt;(&lt;/citation.value11&gt;&lt;citation.key12&gt;CourtParenthetical.)&lt;/citation.key12&gt;&lt;citation.value12&gt;)&lt;/citation.value12&gt;&lt;citation.key13&gt;CourtParenthetical.Date&lt;/citation.key13&gt;&lt;citation.value13&gt;1998 &lt;/citation.value13&gt;&lt;citation.key14&gt;CourtParenthetical.Date.Year&lt;/citation.key14&gt;&lt;citation.value14&gt;1998 &lt;/citation.value14&gt;&lt;citation.key15&gt;CourtParenthetical.Date.Year.Year&lt;/citation.key15&gt;&lt;citation.value15&gt;1998&lt;/citation.value15&gt;&lt;citation.key16&gt;CourtParenthetical.Date.Year._Pattern&lt;/citation.key16&gt;&lt;citation.value16&gt;Year.Year&lt;/citation.value16&gt;&lt;citation.key17&gt;CourtParenthetical.Date._Pattern&lt;/citation.key17&gt;&lt;citation.value17&gt;Date.Date&lt;/citation.value17&gt;&lt;citation.key18&gt;CourtParenthetical.ForbiddenComma._Pattern&lt;/citation.key18&gt;&lt;citation.value18&gt;ForbiddenComma.ForbiddenComma&lt;/citation.value18&gt;&lt;citation.key19&gt;CourtParenthetical.Switch ( [ L&lt;/citation.key19&gt;&lt;citation.value19&gt; (&lt;/citation.value19&gt;&lt;citation.key20&gt;CourtParenthetical.Switch ( [ L.(&lt;/citation.key20&gt;&lt;citation.value20&gt;(&lt;/citation.value20&gt;&lt;citation.key21&gt;CourtParenthetical.Switch ( [ L._Pattern&lt;/citation.key21&gt;&lt;citation.value21&gt;Switch ( [ L.Switch ( [ L&lt;/citation.value21&gt;&lt;citation.key22&gt;CourtParenthetical.Switch ) ] R&lt;/citation.key22&gt;&lt;citation.value22&gt;) &lt;/citation.value22&gt;&lt;citation.key23&gt;CourtParenthetical.Switch ) ] R.)&lt;/citation.key23&gt;&lt;citation.value23&gt;)&lt;/citation.value23&gt;&lt;citation.key24&gt;CourtParenthetical.Switch ) ] R._Pattern&lt;/citation.key24&gt;&lt;citation.value24&gt;Switch ) ] R.Switch ) ] R&lt;/citation.value24&gt;&lt;citation.key25&gt;CourtParenthetical._Pattern&lt;/citation.key25&gt;&lt;citation.value25&gt;CourtParenthetical.CourtParenthetical&lt;/citation.value25&gt;&lt;citation.key26&gt;Id&lt;/citation.key26&gt;&lt;citation.value26&gt;Id. &lt;/citation.value26&gt;&lt;citation.key27&gt;Id.Id&lt;/citation.key27&gt;&lt;citation.value27&gt;Id.&lt;/citation.value27&gt;&lt;citation.key28&gt;Id._Pattern&lt;/citation.key28&gt;&lt;citation.value28&gt;IdGraph.IdGraph&lt;/citation.value28&gt;&lt;citation.key29&gt;NY L Paren&lt;/citation.key29&gt;&lt;citation.value29&gt;(&lt;/citation.value29&gt;&lt;citation.key30&gt;NY R Paren&lt;/citation.key30&gt;&lt;citation.value30&gt;)&lt;/citation.value30&gt;&lt;citation.key31&gt;Reporter&lt;/citation.key31&gt;&lt;citation.value31&gt;53 F.3d at 559&lt;/citation.value31&gt;&lt;citation.key32&gt;Reporter.FirstPage&lt;/citation.key32&gt;&lt;citation.value32&gt;549&lt;/citation.value32&gt;&lt;citation.key33&gt;Reporter.Name&lt;/citation.key33&gt;&lt;citation.value33&gt;F.3d&lt;/citation.value33&gt;&lt;citation.key34&gt;Reporter.RequiredComma&lt;/citation.key34&gt;&lt;citation.value34&gt;, &lt;/citation.value34&gt;&lt;citation.key35&gt;Reporter.RequiredComma.Comma&lt;/citation.key35&gt;&lt;citation.value35&gt;,&lt;/citation.value35&gt;&lt;citation.key36&gt;Reporter.RequiredComma._Pattern&lt;/citation.key36&gt;&lt;citation.value36&gt;RequiredComma.RequiredComma&lt;/citation.value36&gt;&lt;citation.key37&gt;Reporter.Volume&lt;/citation.key37&gt;&lt;citation.value37&gt;53&lt;/citation.value37&gt;&lt;citation.key38&gt;Reporter.[&lt;/citation.key38&gt;&lt;citation.value38&gt;[&lt;/citation.value38&gt;&lt;citation.key39&gt;Reporter.]&lt;/citation.key39&gt;&lt;citation.value39&gt;]&lt;/citation.value39&gt;&lt;citation.key40&gt;Reporter._Pattern&lt;/citation.key40&gt;&lt;citation.value40&gt;ShortReporter.ShortReporter&lt;/citation.value40&gt;&lt;citation.key41&gt;Reporter.__PinPages&lt;/citation.key41&gt;&lt;citation.value41&gt;559&lt;/citation.value41&gt;&lt;citation.key42&gt;Reporter.__PinPages.First&lt;/citation.key42&gt;&lt;citation.value42&gt;559&lt;/citation.value42&gt;&lt;citation.key43&gt;Reporter.__PinPages.First._Pattern&lt;/citation.key43&gt;&lt;citation.value43&gt;FirstPageInRange.FirstPageInRange&lt;/citation.value43&gt;&lt;citation.key44&gt;Reporter.__PinPages.First.__PageNumber&lt;/citation.key44&gt;&lt;citation.value44&gt;559&lt;/citation.value44&gt;&lt;citation.key45&gt;Reporter.__PinPages._Pattern&lt;/citation.key45&gt;&lt;citation.value45&gt;PinPages.PinPages&lt;/citation.value45&gt;&lt;citation.key46&gt;Reporter.page&lt;/citation.key46&gt;&lt;citation.value46&gt;page&lt;/citation.value46&gt;&lt;citation.key47&gt;RequiredComma&lt;/citation.key47&gt;&lt;citation.value47&gt;, &lt;/citation.value47&gt;&lt;citation.key48&gt;RequiredComma.Comma&lt;/citation.key48&gt;&lt;citation.value48&gt;,&lt;/citation.value48&gt;&lt;citation.key49&gt;RequiredComma._Pattern&lt;/citation.key49&gt;&lt;citation.value49&gt;RequiredComma.RequiredComma&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gt;_x000a_"/>
    <w:docVar w:name="CITRUS_BOOKMARK131[0]" w:val="&lt;#1&gt;&lt;citation&gt;&lt;citation._original_string&gt;Arlington Cent. Sch. Dist. Bd. of Educ. v. Murphy, 548 U.S. 291, 295 (2006)&lt;/citation._original_string&gt;&lt;citation._current_string&gt;Arlington Cent. Sch. Dist. Bd. of Educ. v. Murphy, 548 U.S. 291, 295 (2006)&lt;/citation._current_string&gt;&lt;citation._full_string&gt;Arlington Cent. Sch. Dist. Bd. of Educ. v. Murphy, 548 U.S. 291, 295 (2006)&lt;/citation._full_string&gt;&lt;citation._current_format&gt;Full.CaseCitation&lt;/citation._current_format&gt;&lt;citation.name&gt;&lt;/citation.name&gt;&lt;citation.key0&gt;,&lt;/citation.key0&gt;&lt;citation.value0&gt;,&lt;/citation.value0&gt;&lt;citation.key1&gt;CaseName&lt;/citation.key1&gt;&lt;citation.value1&gt;Arlington Cent. Sch. Dist. Bd. of Educ. v. Murphy &lt;/citation.value1&gt;&lt;citation.key2&gt;CaseName.FirstParty&lt;/citation.key2&gt;&lt;citation.value2&gt;Arlington Cent. Sch. Dist. Bd. of Educ. &lt;/citation.value2&gt;&lt;citation.key3&gt;CaseName.FirstParty.Party&lt;/citation.key3&gt;&lt;citation.value3&gt;Arlington Central School District Board of Education&lt;/citation.value3&gt;&lt;citation.key4&gt;CaseName.FirstParty._Pattern&lt;/citation.key4&gt;&lt;citation.value4&gt;Party.Party&lt;/citation.value4&gt;&lt;citation.key5&gt;CaseName.SecondParty&lt;/citation.key5&gt;&lt;citation.value5&gt;Murphy &lt;/citation.value5&gt;&lt;citation.key6&gt;CaseName.SecondParty.Party&lt;/citation.key6&gt;&lt;citation.value6&gt;Murphy&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2006) &lt;/citation.value10&gt;&lt;citation.key11&gt;CourtParenthetical.Date&lt;/citation.key11&gt;&lt;citation.value11&gt;2006 &lt;/citation.value11&gt;&lt;citation.key12&gt;CourtParenthetical.Date.Year&lt;/citation.key12&gt;&lt;citation.value12&gt;2006 &lt;/citation.value12&gt;&lt;citation.key13&gt;CourtParenthetical.Date.Year.Year&lt;/citation.key13&gt;&lt;citation.value13&gt;2006&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Arlington Cent. Sch. Dist. Bd. of Educ.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48 U.S. at 295&lt;/citation.value30&gt;&lt;citation.key31&gt;Reporter.FirstPage&lt;/citation.key31&gt;&lt;citation.value31&gt;291&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548&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295&lt;/citation.value40&gt;&lt;citation.key41&gt;Reporter.__PinPages.First&lt;/citation.key41&gt;&lt;citation.value41&gt;295&lt;/citation.value41&gt;&lt;citation.key42&gt;Reporter.__PinPages.First._Pattern&lt;/citation.key42&gt;&lt;citation.value42&gt;FirstPageInRange.FirstPageInRange&lt;/citation.value42&gt;&lt;citation.key43&gt;Reporter.__PinPages.First.__PageNumber&lt;/citation.key43&gt;&lt;citation.value43&gt;295&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Murphy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134[0]" w:val="&lt;#1&gt;&lt;citation&gt;&lt;citation._original_string&gt;Playboy Enters. v. Dumas, 53 F.3d 549, 559 (1998)&lt;/citation._original_string&gt;&lt;citation._current_string&gt;Playboy Enters. v. Dumas, 53 F.3d 549, 559 (1998)&lt;/citation._current_string&gt;&lt;citation._full_string&gt;Playboy Enters. v. Dumas, 53 F.3d 549, 559 (1998)&lt;/citation._full_string&gt;&lt;citation._current_format&gt;Full.CaseCitation&lt;/citation._current_format&gt;&lt;citation.name&gt;&lt;/citation.name&gt;&lt;citation.key0&gt;,&lt;/citation.key0&gt;&lt;citation.value0&gt;,&lt;/citation.value0&gt;&lt;citation.key1&gt;CaseName&lt;/citation.key1&gt;&lt;citation.value1&gt;Playboy Enters. v. Dumas &lt;/citation.value1&gt;&lt;citation.key2&gt;CaseName.FirstParty&lt;/citation.key2&gt;&lt;citation.value2&gt;Playboy Enters. &lt;/citation.value2&gt;&lt;citation.key3&gt;CaseName.FirstParty.Party&lt;/citation.key3&gt;&lt;citation.value3&gt;Playboy Enters.&lt;/citation.value3&gt;&lt;citation.key4&gt;CaseName.FirstParty._Pattern&lt;/citation.key4&gt;&lt;citation.value4&gt;Party.Party&lt;/citation.value4&gt;&lt;citation.key5&gt;CaseName.SecondParty&lt;/citation.key5&gt;&lt;citation.value5&gt;Dumas &lt;/citation.value5&gt;&lt;citation.key6&gt;CaseName.SecondParty.Party&lt;/citation.key6&gt;&lt;citation.value6&gt;Dumas&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98) &lt;/citation.value10&gt;&lt;citation.key11&gt;CourtParenthetical.Date&lt;/citation.key11&gt;&lt;citation.value11&gt;1998 &lt;/citation.value11&gt;&lt;citation.key12&gt;CourtParenthetical.Date.Year&lt;/citation.key12&gt;&lt;citation.value12&gt;1998 &lt;/citation.value12&gt;&lt;citation.key13&gt;CourtParenthetical.Date.Year.Year&lt;/citation.key13&gt;&lt;citation.value13&gt;1998&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Id&lt;/citation.key24&gt;&lt;citation.value24&gt;Id. &lt;/citation.value24&gt;&lt;citation.key25&gt;Id.Id&lt;/citation.key25&gt;&lt;citation.value25&gt;Id.&lt;/citation.value25&gt;&lt;citation.key26&gt;Id._Pattern&lt;/citation.key26&gt;&lt;citation.value26&gt;IdGraph.IdGraph&lt;/citation.value26&gt;&lt;citation.key27&gt;NY L Paren&lt;/citation.key27&gt;&lt;citation.value27&gt;(&lt;/citation.value27&gt;&lt;citation.key28&gt;NY R Paren&lt;/citation.key28&gt;&lt;citation.value28&gt;)&lt;/citation.value28&gt;&lt;citation.key29&gt;Reporter&lt;/citation.key29&gt;&lt;citation.value29&gt;53 F.3d at 559&lt;/citation.value29&gt;&lt;citation.key30&gt;Reporter.FirstPage&lt;/citation.key30&gt;&lt;citation.value30&gt;549&lt;/citation.value30&gt;&lt;citation.key31&gt;Reporter.Name&lt;/citation.key31&gt;&lt;citation.value31&gt;F.3d&lt;/citation.value31&gt;&lt;citation.key32&gt;Reporter.RequiredComma&lt;/citation.key32&gt;&lt;citation.value32&gt;, &lt;/citation.value32&gt;&lt;citation.key33&gt;Reporter.RequiredComma.Comma&lt;/citation.key33&gt;&lt;citation.value33&gt;,&lt;/citation.value33&gt;&lt;citation.key34&gt;Reporter.RequiredComma._Pattern&lt;/citation.key34&gt;&lt;citation.value34&gt;RequiredComma.RequiredComma&lt;/citation.value34&gt;&lt;citation.key35&gt;Reporter.Volume&lt;/citation.key35&gt;&lt;citation.value35&gt;53&lt;/citation.value35&gt;&lt;citation.key36&gt;Reporter.[&lt;/citation.key36&gt;&lt;citation.value36&gt;[&lt;/citation.value36&gt;&lt;citation.key37&gt;Reporter.]&lt;/citation.key37&gt;&lt;citation.value37&gt;]&lt;/citation.value37&gt;&lt;citation.key38&gt;Reporter._Pattern&lt;/citation.key38&gt;&lt;citation.value38&gt;ShortReporter.ShortReporter&lt;/citation.value38&gt;&lt;citation.key39&gt;Reporter.__PinPages&lt;/citation.key39&gt;&lt;citation.value39&gt;559&lt;/citation.value39&gt;&lt;citation.key40&gt;Reporter.__PinPages.First&lt;/citation.key40&gt;&lt;citation.value40&gt;559&lt;/citation.value40&gt;&lt;citation.key41&gt;Reporter.__PinPages.First._Pattern&lt;/citation.key41&gt;&lt;citation.value41&gt;FirstPageInRange.FirstPageInRange&lt;/citation.value41&gt;&lt;citation.key42&gt;Reporter.__PinPages.First.__PageNumber&lt;/citation.key42&gt;&lt;citation.value42&gt;559&lt;/citation.value42&gt;&lt;citation.key43&gt;Reporter.__PinPages._Pattern&lt;/citation.key43&gt;&lt;citation.value43&gt;PinPages.PinPages&lt;/citation.value43&gt;&lt;citation.key44&gt;Reporter.page&lt;/citation.key44&gt;&lt;citation.value44&gt;page&lt;/citation.value44&gt;&lt;citation.key45&gt;RequiredComma&lt;/citation.key45&gt;&lt;citation.value45&gt;, &lt;/citation.value45&gt;&lt;citation.key46&gt;RequiredComma.Comma&lt;/citation.key46&gt;&lt;citation.value46&gt;,&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137[0]" w:val="&lt;#1&gt;&lt;citation&gt;&lt;citation._original_string&gt;TRW Inc. v. Andrews, 534 U.S. 19, 31 (2001)&lt;/citation._original_string&gt;&lt;citation._current_string&gt;TRW Inc. v. Andrews, 534 U.S. 19, 31 (2001)&lt;/citation._current_string&gt;&lt;citation._full_string&gt;TRW Inc. v. Andrews, 534 U.S. 19, 31 (2001)&lt;/citation._full_string&gt;&lt;citation._current_format&gt;Full.CaseCitation&lt;/citation._current_format&gt;&lt;citation.name&gt;&lt;/citation.name&gt;&lt;citation.key0&gt;,&lt;/citation.key0&gt;&lt;citation.value0&gt;,&lt;/citation.value0&gt;&lt;citation.key1&gt;CaseName&lt;/citation.key1&gt;&lt;citation.value1&gt;TRW Inc. v. Andrews &lt;/citation.value1&gt;&lt;citation.key2&gt;CaseName.FirstParty&lt;/citation.key2&gt;&lt;citation.value2&gt;TRW Inc. &lt;/citation.value2&gt;&lt;citation.key3&gt;CaseName.FirstParty.Party&lt;/citation.key3&gt;&lt;citation.value3&gt;TRW Inc.&lt;/citation.value3&gt;&lt;citation.key4&gt;CaseName.FirstParty._Pattern&lt;/citation.key4&gt;&lt;citation.value4&gt;Party.Party&lt;/citation.value4&gt;&lt;citation.key5&gt;CaseName.SecondParty&lt;/citation.key5&gt;&lt;citation.value5&gt;Andrews &lt;/citation.value5&gt;&lt;citation.key6&gt;CaseName.SecondParty.Party&lt;/citation.key6&gt;&lt;citation.value6&gt;Andrews&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2001) &lt;/citation.value10&gt;&lt;citation.key11&gt;CourtParenthetical.Date&lt;/citation.key11&gt;&lt;citation.value11&gt;2001 &lt;/citation.value11&gt;&lt;citation.key12&gt;CourtParenthetical.Date.Year&lt;/citation.key12&gt;&lt;citation.value12&gt;2001 &lt;/citation.value12&gt;&lt;citation.key13&gt;CourtParenthetical.Date.Year.Year&lt;/citation.key13&gt;&lt;citation.value13&gt;2001&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TRW Inc.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34 U.S. at 31&lt;/citation.value30&gt;&lt;citation.key31&gt;Reporter.FirstPage&lt;/citation.key31&gt;&lt;citation.value31&gt;19&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534&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31&lt;/citation.value40&gt;&lt;citation.key41&gt;Reporter.__PinPages.First&lt;/citation.key41&gt;&lt;citation.value41&gt;31&lt;/citation.value41&gt;&lt;citation.key42&gt;Reporter.__PinPages.First._Pattern&lt;/citation.key42&gt;&lt;citation.value42&gt;FirstPageInRange.FirstPageInRange&lt;/citation.value42&gt;&lt;citation.key43&gt;Reporter.__PinPages.First.__PageNumber&lt;/citation.key43&gt;&lt;citation.value43&gt;31&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Andrews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14[0]" w:val="&lt;#1&gt;&lt;citation&gt;&lt;citation._original_string&gt;Schiller &amp; Schmidt v. Nordisco Corp., 969 F.2d 410, 413 (7th Cir. 1992)&lt;/citation._original_string&gt;&lt;citation._current_string&gt;Schiller &amp; Schmidt v. Nordisco Corp., 969 F.2d 410, 413 (7th Cir. 1992)&lt;/citation._current_string&gt;&lt;citation._full_string&gt;Schiller &amp; Schmidt v. Nordisco Corp., 969 F.2d 410, 413 (7th Cir. 1992)&lt;/citation._full_string&gt;&lt;citation._current_format&gt;Full.CaseCitation&lt;/citation._current_format&gt;&lt;citation.name&gt;&lt;/citation.name&gt;&lt;citation.key0&gt;,&lt;/citation.key0&gt;&lt;citation.value0&gt;,&lt;/citation.value0&gt;&lt;citation.key1&gt;CaseName&lt;/citation.key1&gt;&lt;citation.value1&gt;Schiller &amp; Schmidt v. Nordisco Corp. &lt;/citation.value1&gt;&lt;citation.key2&gt;CaseName.FirstParty&lt;/citation.key2&gt;&lt;citation.value2&gt;Schiller &amp; Schmidt &lt;/citation.value2&gt;&lt;citation.key3&gt;CaseName.FirstParty.Party&lt;/citation.key3&gt;&lt;citation.value3&gt;Schiller &amp; Schmidt&lt;/citation.value3&gt;&lt;citation.key4&gt;CaseName.FirstParty._Pattern&lt;/citation.key4&gt;&lt;citation.value4&gt;Party.Party&lt;/citation.value4&gt;&lt;citation.key5&gt;CaseName.SecondParty&lt;/citation.key5&gt;&lt;citation.value5&gt;Nordisco Corp. &lt;/citation.value5&gt;&lt;citation.key6&gt;CaseName.SecondParty.Party&lt;/citation.key6&gt;&lt;citation.value6&gt;Nordisco Corp.&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7th Cir. 1992) &lt;/citation.value10&gt;&lt;citation.key11&gt;CourtParenthetical.CourtName&lt;/citation.key11&gt;&lt;citation.value11&gt;7th Cir. &lt;/citation.value11&gt;&lt;citation.key12&gt;CourtParenthetical.CourtName.CourtName&lt;/citation.key12&gt;&lt;citation.value12&gt;7th Cir.&lt;/citation.value12&gt;&lt;citation.key13&gt;CourtParenthetical.CourtName._Pattern&lt;/citation.key13&gt;&lt;citation.value13&gt;CourtName.CourtName&lt;/citation.value13&gt;&lt;citation.key14&gt;CourtParenthetical.Date&lt;/citation.key14&gt;&lt;citation.value14&gt;1992 &lt;/citation.value14&gt;&lt;citation.key15&gt;CourtParenthetical.Date.Year&lt;/citation.key15&gt;&lt;citation.value15&gt;1992 &lt;/citation.value15&gt;&lt;citation.key16&gt;CourtParenthetical.Date.Year.Year&lt;/citation.key16&gt;&lt;citation.value16&gt;1992&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969 F.2d at 413&lt;/citation.value32&gt;&lt;citation.key33&gt;Reporter.FirstPage&lt;/citation.key33&gt;&lt;citation.value33&gt;410&lt;/citation.value33&gt;&lt;citation.key34&gt;Reporter.Name&lt;/citation.key34&gt;&lt;citation.value34&gt;F.2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969&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413&lt;/citation.value42&gt;&lt;citation.key43&gt;Reporter.__PinPages.First&lt;/citation.key43&gt;&lt;citation.value43&gt;413&lt;/citation.value43&gt;&lt;citation.key44&gt;Reporter.__PinPages.First._Pattern&lt;/citation.key44&gt;&lt;citation.value44&gt;FirstPageInRange.FirstPageInRange&lt;/citation.value44&gt;&lt;citation.key45&gt;Reporter.__PinPages.First.__PageNumber&lt;/citation.key45&gt;&lt;citation.value45&gt;413&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140[0]" w:val="&lt;#1&gt;&lt;citation&gt;&lt;citation._original_string&gt;Zuni Pub. Sch. Dist. No. 89 v. Dep't of Educ., 550 U.S. 81, 93 (2007)&lt;/citation._original_string&gt;&lt;citation._current_string&gt;Zuni Pub. Sch. Dist. No. 89 v. Dep't of Educ., 550 U.S. 81, 93 (2007)&lt;/citation._current_string&gt;&lt;citation._full_string&gt;Zuni Pub. Sch. Dist. No. 89 v. Dep't of Educ., 550 U.S. 81, 93 (2007)&lt;/citation._full_string&gt;&lt;citation._current_format&gt;Full.CaseCitation&lt;/citation._current_format&gt;&lt;citation.name&gt;&lt;/citation.name&gt;&lt;citation.key0&gt;,&lt;/citation.key0&gt;&lt;citation.value0&gt;,&lt;/citation.value0&gt;&lt;citation.key1&gt;CaseName&lt;/citation.key1&gt;&lt;citation.value1&gt;Zuni Pub. Sch. Dist. No. 89 v. Dep't of Educ. &lt;/citation.value1&gt;&lt;citation.key2&gt;CaseName.FirstParty&lt;/citation.key2&gt;&lt;citation.value2&gt;Zuni Pub. Sch. Dist. No. 89 &lt;/citation.value2&gt;&lt;citation.key3&gt;CaseName.FirstParty.Party&lt;/citation.key3&gt;&lt;citation.value3&gt;Zuni Public School District No. 89&lt;/citation.value3&gt;&lt;citation.key4&gt;CaseName.FirstParty._Pattern&lt;/citation.key4&gt;&lt;citation.value4&gt;Party.Party&lt;/citation.value4&gt;&lt;citation.key5&gt;CaseName.SecondParty&lt;/citation.key5&gt;&lt;citation.value5&gt;Dep't of Educ. &lt;/citation.value5&gt;&lt;citation.key6&gt;CaseName.SecondParty.Party&lt;/citation.key6&gt;&lt;citation.value6&gt;Department of Education&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2007) &lt;/citation.value10&gt;&lt;citation.key11&gt;CourtParenthetical.Date&lt;/citation.key11&gt;&lt;citation.value11&gt;2007 &lt;/citation.value11&gt;&lt;citation.key12&gt;CourtParenthetical.Date.Year&lt;/citation.key12&gt;&lt;citation.value12&gt;2007 &lt;/citation.value12&gt;&lt;citation.key13&gt;CourtParenthetical.Date.Year.Year&lt;/citation.key13&gt;&lt;citation.value13&gt;2007&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Zuni Pub. Sch. Dist. No. 89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50 U.S. at 93&lt;/citation.value30&gt;&lt;citation.key31&gt;Reporter.FirstPage&lt;/citation.key31&gt;&lt;citation.value31&gt;81&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550&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93&lt;/citation.value40&gt;&lt;citation.key41&gt;Reporter.__PinPages.First&lt;/citation.key41&gt;&lt;citation.value41&gt;93&lt;/citation.value41&gt;&lt;citation.key42&gt;Reporter.__PinPages.First._Pattern&lt;/citation.key42&gt;&lt;citation.value42&gt;FirstPageInRange.FirstPageInRange&lt;/citation.value42&gt;&lt;citation.key43&gt;Reporter.__PinPages.First.__PageNumber&lt;/citation.key43&gt;&lt;citation.value43&gt;93&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Dep't of Educ.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15[0]" w:val="&lt;#1&gt;&lt;citation&gt;&lt;citation._original_string&gt;17 U.S.C. § 101&lt;/citation._original_string&gt;&lt;citation._current_string&gt;17 U.S.C. § 101&lt;/citation._current_string&gt;&lt;citation._full_string&gt;17 U.S.C. §101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56[0]" w:val="&lt;#1&gt;&lt;citation&gt;&lt;citation._original_string&gt;Ledbetter v. Goodyear Tire &amp; Rubber Co., 550 U.S. 618 (2007)&lt;/citation._original_string&gt;&lt;citation._current_string&gt;Ledbetter v. Goodyear Tire &amp; Rubber Co., 550 U.S. 618 (2007)&lt;/citation._current_string&gt;&lt;citation._full_string&gt;Ledbetter v. Goodyear Tire &amp; Rubber Co., 550 U.S. 618 (2007)&lt;/citation._full_string&gt;&lt;citation._current_format&gt;Full.CaseCitation&lt;/citation._current_format&gt;&lt;citation.name&gt;&lt;/citation.name&gt;&lt;citation.key0&gt;,&lt;/citation.key0&gt;&lt;citation.value0&gt;,&lt;/citation.value0&gt;&lt;citation.key1&gt;CaseName&lt;/citation.key1&gt;&lt;citation.value1&gt;Ledbetter v. Goodyear Tire &amp; Rubber Co. &lt;/citation.value1&gt;&lt;citation.key2&gt;CaseName.FirstParty&lt;/citation.key2&gt;&lt;citation.value2&gt;Ledbetter &lt;/citation.value2&gt;&lt;citation.key3&gt;CaseName.FirstParty.Party&lt;/citation.key3&gt;&lt;citation.value3&gt;Ledbetter&lt;/citation.value3&gt;&lt;citation.key4&gt;CaseName.FirstParty._Pattern&lt;/citation.key4&gt;&lt;citation.value4&gt;Party.Party&lt;/citation.value4&gt;&lt;citation.key5&gt;CaseName.SecondParty&lt;/citation.key5&gt;&lt;citation.value5&gt;Goodyear Tire &amp; Rubber Co. &lt;/citation.value5&gt;&lt;citation.key6&gt;CaseName.SecondParty.Party&lt;/citation.key6&gt;&lt;citation.value6&gt;Goodyear Tire and Rubber Co.&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2007) &lt;/citation.value10&gt;&lt;citation.key11&gt;CourtParenthetical.Date&lt;/citation.key11&gt;&lt;citation.value11&gt;2007 &lt;/citation.value11&gt;&lt;citation.key12&gt;CourtParenthetical.Date.Year&lt;/citation.key12&gt;&lt;citation.value12&gt;2007 &lt;/citation.value12&gt;&lt;citation.key13&gt;CourtParenthetical.Date.Year.Year&lt;/citation.key13&gt;&lt;citation.value13&gt;2007&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Ledbetter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50 U.S. 618 &lt;/citation.value30&gt;&lt;citation.key31&gt;Reporter.FirstPage&lt;/citation.key31&gt;&lt;citation.value31&gt;618&lt;/citation.value31&gt;&lt;citation.key32&gt;Reporter.Name&lt;/citation.key32&gt;&lt;citation.value32&gt;U.S.&lt;/citation.value32&gt;&lt;citation.key33&gt;Reporter.Volume&lt;/citation.key33&gt;&lt;citation.value33&gt;550&lt;/citation.value33&gt;&lt;citation.key34&gt;Reporter.[&lt;/citation.key34&gt;&lt;citation.value34&gt;[&lt;/citation.value34&gt;&lt;citation.key35&gt;Reporter.]&lt;/citation.key35&gt;&lt;citation.value35&gt;]&lt;/citation.value35&gt;&lt;citation.key36&gt;Reporter._Pattern&lt;/citation.key36&gt;&lt;citation.value36&gt;ShortReporter.ShortReporter&lt;/citation.value36&gt;&lt;citation.key37&gt;Reporter.page&lt;/citation.key37&gt;&lt;citation.value37&gt;page&lt;/citation.value37&gt;&lt;citation.key38&gt;RequiredComma&lt;/citation.key38&gt;&lt;citation.value38&gt;, &lt;/citation.value38&gt;&lt;citation.key39&gt;RequiredComma.Comma&lt;/citation.key39&gt;&lt;citation.value39&gt;,&lt;/citation.value39&gt;&lt;citation.key40&gt;RequiredComma._Pattern&lt;/citation.key40&gt;&lt;citation.value40&gt;RequiredComma.RequiredComma&lt;/citation.value40&gt;&lt;citation.key41&gt;SecondParty&lt;/citation.key41&gt;&lt;citation.value41&gt;Goodyear Tire &amp; Rubber Co.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157[0]" w:val="&lt;#1&gt;&lt;citation&gt;&lt;citation._original_string&gt;Massachusetts v. Morash, 490 U.S. 107, 115 (1989)&lt;/citation._original_string&gt;&lt;citation._current_string&gt;Massachusetts v. Morash, 490 U.S. 107, 115 (1989)&lt;/citation._current_string&gt;&lt;citation._full_string&gt;Massachusetts v. Morash, 490 U.S. 107, 115 (1989)&lt;/citation._full_string&gt;&lt;citation._current_format&gt;Full.CaseCitation&lt;/citation._current_format&gt;&lt;citation.name&gt;&lt;/citation.name&gt;&lt;citation.key0&gt;,&lt;/citation.key0&gt;&lt;citation.value0&gt;,&lt;/citation.value0&gt;&lt;citation.key1&gt;CaseName&lt;/citation.key1&gt;&lt;citation.value1&gt;Massachusetts v. Morash &lt;/citation.value1&gt;&lt;citation.key2&gt;CaseName.FirstParty&lt;/citation.key2&gt;&lt;citation.value2&gt;Massachusetts &lt;/citation.value2&gt;&lt;citation.key3&gt;CaseName.FirstParty.Party&lt;/citation.key3&gt;&lt;citation.value3&gt;Massachusetts&lt;/citation.value3&gt;&lt;citation.key4&gt;CaseName.FirstParty._Pattern&lt;/citation.key4&gt;&lt;citation.value4&gt;Party.Party&lt;/citation.value4&gt;&lt;citation.key5&gt;CaseName.SecondParty&lt;/citation.key5&gt;&lt;citation.value5&gt;Morash &lt;/citation.value5&gt;&lt;citation.key6&gt;CaseName.SecondParty.Party&lt;/citation.key6&gt;&lt;citation.value6&gt;Morash&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89) &lt;/citation.value10&gt;&lt;citation.key11&gt;CourtParenthetical.Date&lt;/citation.key11&gt;&lt;citation.value11&gt;1989 &lt;/citation.value11&gt;&lt;citation.key12&gt;CourtParenthetical.Date.Year&lt;/citation.key12&gt;&lt;citation.value12&gt;1989 &lt;/citation.value12&gt;&lt;citation.key13&gt;CourtParenthetical.Date.Year.Year&lt;/citation.key13&gt;&lt;citation.value13&gt;1989&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Massachusetts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490 U.S. at 115&lt;/citation.value30&gt;&lt;citation.key31&gt;Reporter.FirstPage&lt;/citation.key31&gt;&lt;citation.value31&gt;107&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490&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115&lt;/citation.value40&gt;&lt;citation.key41&gt;Reporter.__PinPages.First&lt;/citation.key41&gt;&lt;citation.value41&gt;115&lt;/citation.value41&gt;&lt;citation.key42&gt;Reporter.__PinPages.First._Pattern&lt;/citation.key42&gt;&lt;citation.value42&gt;FirstPageInRange.FirstPageInRange&lt;/citation.value42&gt;&lt;citation.key43&gt;Reporter.__PinPages.First.__PageNumber&lt;/citation.key43&gt;&lt;citation.value43&gt;115&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Morash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160[0]" w:val="&lt;#1&gt;&lt;citation&gt;&lt;citation._original_string&gt;Massachusetts v. Morash, 490 U.S. 107, 115 (1989)&lt;/citation._original_string&gt;&lt;citation._current_string&gt;Massachusetts v. Morash, 490 U.S. 107, 115 (1989)&lt;/citation._current_string&gt;&lt;citation._full_string&gt;Massachusetts v. Morash, 490 U.S. 107, 115 (1989)&lt;/citation._full_string&gt;&lt;citation._current_format&gt;Full.CaseCitation&lt;/citation._current_format&gt;&lt;citation.name&gt;&lt;/citation.name&gt;&lt;citation.key0&gt;,&lt;/citation.key0&gt;&lt;citation.value0&gt;,&lt;/citation.value0&gt;&lt;citation.key1&gt;CaseName&lt;/citation.key1&gt;&lt;citation.value1&gt;Massachusetts v. Morash &lt;/citation.value1&gt;&lt;citation.key2&gt;CaseName.FirstParty&lt;/citation.key2&gt;&lt;citation.value2&gt;Massachusetts &lt;/citation.value2&gt;&lt;citation.key3&gt;CaseName.FirstParty.Party&lt;/citation.key3&gt;&lt;citation.value3&gt;Massachusetts&lt;/citation.value3&gt;&lt;citation.key4&gt;CaseName.FirstParty._Pattern&lt;/citation.key4&gt;&lt;citation.value4&gt;Party.Party&lt;/citation.value4&gt;&lt;citation.key5&gt;CaseName.SecondParty&lt;/citation.key5&gt;&lt;citation.value5&gt;Morash &lt;/citation.value5&gt;&lt;citation.key6&gt;CaseName.SecondParty.Party&lt;/citation.key6&gt;&lt;citation.value6&gt;Morash&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89) &lt;/citation.value10&gt;&lt;citation.key11&gt;CourtParenthetical.Date&lt;/citation.key11&gt;&lt;citation.value11&gt;1989 &lt;/citation.value11&gt;&lt;citation.key12&gt;CourtParenthetical.Date.Year&lt;/citation.key12&gt;&lt;citation.value12&gt;1989 &lt;/citation.value12&gt;&lt;citation.key13&gt;CourtParenthetical.Date.Year.Year&lt;/citation.key13&gt;&lt;citation.value13&gt;1989&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Massachusetts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490 U.S. at 115&lt;/citation.value30&gt;&lt;citation.key31&gt;Reporter.FirstPage&lt;/citation.key31&gt;&lt;citation.value31&gt;107&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490&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115&lt;/citation.value40&gt;&lt;citation.key41&gt;Reporter.__PinPages.First&lt;/citation.key41&gt;&lt;citation.value41&gt;115&lt;/citation.value41&gt;&lt;citation.key42&gt;Reporter.__PinPages.First._Pattern&lt;/citation.key42&gt;&lt;citation.value42&gt;FirstPageInRange.FirstPageInRange&lt;/citation.value42&gt;&lt;citation.key43&gt;Reporter.__PinPages.First.__PageNumber&lt;/citation.key43&gt;&lt;citation.value43&gt;115&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Morash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163[0]" w:val="&lt;#1&gt;&lt;citation&gt;&lt;citation._original_string&gt;TRW Inc. v. Andrews, 534 U.S. 19, 31 (2001)&lt;/citation._original_string&gt;&lt;citation._current_string&gt;TRW Inc., 534 U.S. at 31&lt;/citation._current_string&gt;&lt;citation._full_string&gt;TRW Inc. v. Andrews, 534 U.S. 19, 31 (2001)&lt;/citation._full_string&gt;&lt;citation._current_format&gt;Short.ShortCaseCite&lt;/citation._current_format&gt;&lt;citation.name&gt;&lt;/citation.name&gt;&lt;citation.key0&gt;,&lt;/citation.key0&gt;&lt;citation.value0&gt;,&lt;/citation.value0&gt;&lt;citation.key1&gt;CaseName&lt;/citation.key1&gt;&lt;citation.value1&gt;TRW Inc. v. Andrews &lt;/citation.value1&gt;&lt;citation.key2&gt;CaseName.FirstParty&lt;/citation.key2&gt;&lt;citation.value2&gt;TRW Inc. &lt;/citation.value2&gt;&lt;citation.key3&gt;CaseName.FirstParty.Party&lt;/citation.key3&gt;&lt;citation.value3&gt;TRW Inc.&lt;/citation.value3&gt;&lt;citation.key4&gt;CaseName.FirstParty._Pattern&lt;/citation.key4&gt;&lt;citation.value4&gt;Party.Party&lt;/citation.value4&gt;&lt;citation.key5&gt;CaseName.SecondParty&lt;/citation.key5&gt;&lt;citation.value5&gt;Andrews &lt;/citation.value5&gt;&lt;citation.key6&gt;CaseName.SecondParty.Party&lt;/citation.key6&gt;&lt;citation.value6&gt;Andrews&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2001) &lt;/citation.value10&gt;&lt;citation.key11&gt;CourtParenthetical.Date&lt;/citation.key11&gt;&lt;citation.value11&gt;2001 &lt;/citation.value11&gt;&lt;citation.key12&gt;CourtParenthetical.Date.Year&lt;/citation.key12&gt;&lt;citation.value12&gt;2001 &lt;/citation.value12&gt;&lt;citation.key13&gt;CourtParenthetical.Date.Year.Year&lt;/citation.key13&gt;&lt;citation.value13&gt;2001&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TRW Inc.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34 U.S. at 31&lt;/citation.value30&gt;&lt;citation.key31&gt;Reporter.FirstPage&lt;/citation.key31&gt;&lt;citation.value31&gt;19&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534&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31&lt;/citation.value40&gt;&lt;citation.key41&gt;Reporter.__PinPages.First&lt;/citation.key41&gt;&lt;citation.value41&gt;31&lt;/citation.value41&gt;&lt;citation.key42&gt;Reporter.__PinPages.First._Pattern&lt;/citation.key42&gt;&lt;citation.value42&gt;FirstPageInRange.FirstPageInRange&lt;/citation.value42&gt;&lt;citation.key43&gt;Reporter.__PinPages.First.__PageNumber&lt;/citation.key43&gt;&lt;citation.value43&gt;31&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Andrews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164[0]" w:val="&lt;#1&gt;&lt;citation&gt;&lt;citation._original_string&gt;Chevron U.S.A. Inc. v. Echazabal, 536 U.S. 73, 80-81 (2002)&lt;/citation._original_string&gt;&lt;citation._current_string&gt;Chevron U.S.A. Inc. v. Echazabal, 536 U.S. 73, 80-81 (2002)&lt;/citation._current_string&gt;&lt;citation._full_string&gt;Chevron U.S.A. Inc. v. Echazabal, 536 U.S. 73, 80-81 (2002)&lt;/citation._full_string&gt;&lt;citation._current_format&gt;Full.CaseCitation&lt;/citation._current_format&gt;&lt;citation.name&gt;&lt;/citation.name&gt;&lt;citation.key0&gt;,&lt;/citation.key0&gt;&lt;citation.value0&gt;,&lt;/citation.value0&gt;&lt;citation.key1&gt;CaseName&lt;/citation.key1&gt;&lt;citation.value1&gt;Chevron U.S.A. Inc. v. Echazabal &lt;/citation.value1&gt;&lt;citation.key2&gt;CaseName.FirstParty&lt;/citation.key2&gt;&lt;citation.value2&gt;Chevron U.S.A. Inc. &lt;/citation.value2&gt;&lt;citation.key3&gt;CaseName.FirstParty.Party&lt;/citation.key3&gt;&lt;citation.value3&gt;Chevron U.S.A. Inc.&lt;/citation.value3&gt;&lt;citation.key4&gt;CaseName.FirstParty._Pattern&lt;/citation.key4&gt;&lt;citation.value4&gt;Party.Party&lt;/citation.value4&gt;&lt;citation.key5&gt;CaseName.SecondParty&lt;/citation.key5&gt;&lt;citation.value5&gt;Echazabal &lt;/citation.value5&gt;&lt;citation.key6&gt;CaseName.SecondParty.Party&lt;/citation.key6&gt;&lt;citation.value6&gt;Echazabal&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2002) &lt;/citation.value10&gt;&lt;citation.key11&gt;CourtParenthetical.Date&lt;/citation.key11&gt;&lt;citation.value11&gt;2002 &lt;/citation.value11&gt;&lt;citation.key12&gt;CourtParenthetical.Date.Year&lt;/citation.key12&gt;&lt;citation.value12&gt;2002 &lt;/citation.value12&gt;&lt;citation.key13&gt;CourtParenthetical.Date.Year.Year&lt;/citation.key13&gt;&lt;citation.value13&gt;2002&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Chevron U.S.A. Inc.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36 U.S. at 80-81 &lt;/citation.value30&gt;&lt;citation.key31&gt;Reporter.FirstPage&lt;/citation.key31&gt;&lt;citation.value31&gt;73&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536&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80-81 &lt;/citation.value40&gt;&lt;citation.key41&gt;Reporter.__PinPages.First&lt;/citation.key41&gt;&lt;citation.value41&gt;80&lt;/citation.value41&gt;&lt;citation.key42&gt;Reporter.__PinPages.First._Pattern&lt;/citation.key42&gt;&lt;citation.value42&gt;FirstPageInRange.FirstPageInRange&lt;/citation.value42&gt;&lt;citation.key43&gt;Reporter.__PinPages.First.__PageNumber&lt;/citation.key43&gt;&lt;citation.value43&gt;80&lt;/citation.value43&gt;&lt;citation.key44&gt;Reporter.__PinPages.Last&lt;/citation.key44&gt;&lt;citation.value44&gt;81 &lt;/citation.value44&gt;&lt;citation.key45&gt;Reporter.__PinPages.Last.PageNumber&lt;/citation.key45&gt;&lt;citation.value45&gt;81&lt;/citation.value45&gt;&lt;citation.key46&gt;Reporter.__PinPages.Last.PageNumber_Full&lt;/citation.key46&gt;&lt;citation.value46&gt;81&lt;/citation.value46&gt;&lt;citation.key47&gt;Reporter.__PinPages.Last._Pattern&lt;/citation.key47&gt;&lt;citation.value47&gt;LastPageNumber.LastPageNumber&lt;/citation.value47&gt;&lt;citation.key48&gt;Reporter.__PinPages.RangeDash&lt;/citation.key48&gt;&lt;citation.value48&gt;-&lt;/citation.value48&gt;&lt;citation.key49&gt;Reporter.__PinPages._Pattern&lt;/citation.key49&gt;&lt;citation.value49&gt;PinPages.PinPages&lt;/citation.value49&gt;&lt;citation.key50&gt;Reporter.page&lt;/citation.key50&gt;&lt;citation.value50&gt;pages&lt;/citation.value50&gt;&lt;citation.key51&gt;RequiredComma&lt;/citation.key51&gt;&lt;citation.value51&gt;, &lt;/citation.value51&gt;&lt;citation.key52&gt;RequiredComma.Comma&lt;/citation.key52&gt;&lt;citation.value52&gt;,&lt;/citation.value52&gt;&lt;citation.key53&gt;RequiredComma._Pattern&lt;/citation.key53&gt;&lt;citation.value53&gt;RequiredComma.RequiredComma&lt;/citation.value53&gt;&lt;citation.key54&gt;SecondParty&lt;/citation.key54&gt;&lt;citation.value54&gt;Echazabal &lt;/citation.value54&gt;&lt;citation.key55&gt;supra&lt;/citation.key55&gt;&lt;citation.value55&gt;&lt;/citation.value55&gt;&lt;citation.key56&gt;supra.,&lt;/citation.key56&gt;&lt;citation.value56&gt;, &lt;/citation.value56&gt;&lt;citation.key57&gt;supra._Pattern&lt;/citation.key57&gt;&lt;citation.value57&gt;ShortCaseSupra.ShortCaseSupra&lt;/citation.value57&gt;&lt;citation.key58&gt;supra.supra&lt;/citation.key58&gt;&lt;citation.value58&gt;supra&lt;/citation.value58&gt;&lt;citation.key59&gt;v&lt;/citation.key59&gt;&lt;citation.value59&gt;v.&lt;/citation.value59&gt;&lt;/citation&gt;_x000a_"/>
    <w:docVar w:name="CITRUS_BOOKMARK17[0]" w:val="&lt;#1&gt;&lt;citation&gt;&lt;citation._original_string&gt;Massachusetts v. Morash, 490 U.S. 107, 115 (1989)&lt;/citation._original_string&gt;&lt;citation._current_string&gt;Massachusetts v. Morash, 490 U.S. 107, 115 (1989)&lt;/citation._current_string&gt;&lt;citation._full_string&gt;Massachusetts v. Morash, 490 U.S. 107, 115 (1989)&lt;/citation._full_string&gt;&lt;citation._current_format&gt;Full.CaseCitation&lt;/citation._current_format&gt;&lt;citation.name&gt;&lt;/citation.name&gt;&lt;citation.key0&gt;,&lt;/citation.key0&gt;&lt;citation.value0&gt;,&lt;/citation.value0&gt;&lt;citation.key1&gt;CaseName&lt;/citation.key1&gt;&lt;citation.value1&gt;Massachusetts v. Morash &lt;/citation.value1&gt;&lt;citation.key2&gt;CaseName.FirstParty&lt;/citation.key2&gt;&lt;citation.value2&gt;Massachusetts &lt;/citation.value2&gt;&lt;citation.key3&gt;CaseName.FirstParty.Party&lt;/citation.key3&gt;&lt;citation.value3&gt;Massachusetts&lt;/citation.value3&gt;&lt;citation.key4&gt;CaseName.FirstParty._Pattern&lt;/citation.key4&gt;&lt;citation.value4&gt;Party.Party&lt;/citation.value4&gt;&lt;citation.key5&gt;CaseName.SecondParty&lt;/citation.key5&gt;&lt;citation.value5&gt;Morash &lt;/citation.value5&gt;&lt;citation.key6&gt;CaseName.SecondParty.Party&lt;/citation.key6&gt;&lt;citation.value6&gt;Morash&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89) &lt;/citation.value10&gt;&lt;citation.key11&gt;CourtParenthetical.Date&lt;/citation.key11&gt;&lt;citation.value11&gt;1989 &lt;/citation.value11&gt;&lt;citation.key12&gt;CourtParenthetical.Date.Year&lt;/citation.key12&gt;&lt;citation.value12&gt;1989 &lt;/citation.value12&gt;&lt;citation.key13&gt;CourtParenthetical.Date.Year.Year&lt;/citation.key13&gt;&lt;citation.value13&gt;1989&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Massachusetts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490 U.S. at 115&lt;/citation.value30&gt;&lt;citation.key31&gt;Reporter.FirstPage&lt;/citation.key31&gt;&lt;citation.value31&gt;107&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490&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115&lt;/citation.value40&gt;&lt;citation.key41&gt;Reporter.__PinPages.First&lt;/citation.key41&gt;&lt;citation.value41&gt;115&lt;/citation.value41&gt;&lt;citation.key42&gt;Reporter.__PinPages.First._Pattern&lt;/citation.key42&gt;&lt;citation.value42&gt;FirstPageInRange.FirstPageInRange&lt;/citation.value42&gt;&lt;citation.key43&gt;Reporter.__PinPages.First.__PageNumber&lt;/citation.key43&gt;&lt;citation.value43&gt;115&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Morash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170[0]" w:val="&lt;#1&gt;&lt;citation&gt;&lt;citation._original_string&gt;TRW Inc., 534 U.S. at 31&lt;/citation._original_string&gt;&lt;citation._current_string&gt;TRW Inc., 534 U.S. at 31&lt;/citation._current_string&gt;&lt;citation._full_string&gt;TRW Inc. v. Andrews, 534 U.S. 19, 31 (2001)&lt;/citation._full_string&gt;&lt;citation._current_format&gt;Short.ShortCaseCite&lt;/citation._current_format&gt;&lt;citation.name&gt;&lt;/citation.name&gt;&lt;citation.key0&gt;,&lt;/citation.key0&gt;&lt;citation.value0&gt;,&lt;/citation.value0&gt;&lt;citation.key1&gt;CaseName&lt;/citation.key1&gt;&lt;citation.value1&gt;TRW Inc. v. Andrews &lt;/citation.value1&gt;&lt;citation.key2&gt;CaseName.FirstParty&lt;/citation.key2&gt;&lt;citation.value2&gt;TRW Inc. &lt;/citation.value2&gt;&lt;citation.key3&gt;CaseName.FirstParty.Party&lt;/citation.key3&gt;&lt;citation.value3&gt;TRW Inc.&lt;/citation.value3&gt;&lt;citation.key4&gt;CaseName.FirstParty._Pattern&lt;/citation.key4&gt;&lt;citation.value4&gt;Party.Party&lt;/citation.value4&gt;&lt;citation.key5&gt;CaseName.SecondParty&lt;/citation.key5&gt;&lt;citation.value5&gt;Andrews &lt;/citation.value5&gt;&lt;citation.key6&gt;CaseName.SecondParty.Party&lt;/citation.key6&gt;&lt;citation.value6&gt;Andrews&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2001) &lt;/citation.value10&gt;&lt;citation.key11&gt;CourtParenthetical.Date&lt;/citation.key11&gt;&lt;citation.value11&gt;2001 &lt;/citation.value11&gt;&lt;citation.key12&gt;CourtParenthetical.Date.Year&lt;/citation.key12&gt;&lt;citation.value12&gt;2001 &lt;/citation.value12&gt;&lt;citation.key13&gt;CourtParenthetical.Date.Year.Year&lt;/citation.key13&gt;&lt;citation.value13&gt;2001&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TRW Inc.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34 U.S. at 31&lt;/citation.value30&gt;&lt;citation.key31&gt;Reporter.FirstPage&lt;/citation.key31&gt;&lt;citation.value31&gt;19&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534&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31&lt;/citation.value40&gt;&lt;citation.key41&gt;Reporter.__PinPages.First&lt;/citation.key41&gt;&lt;citation.value41&gt;31&lt;/citation.value41&gt;&lt;citation.key42&gt;Reporter.__PinPages.First._Pattern&lt;/citation.key42&gt;&lt;citation.value42&gt;FirstPageInRange.FirstPageInRange&lt;/citation.value42&gt;&lt;citation.key43&gt;Reporter.__PinPages.First.__PageNumber&lt;/citation.key43&gt;&lt;citation.value43&gt;31&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Andrews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18[0]" w:val="&lt;#1&gt;&lt;citation&gt;&lt;citation._original_string&gt;17 U.S.C.S. § 506 (LexisNexis 2011)&lt;/citation._original_string&gt;&lt;citation._current_string&gt;17 U.S.C.S. § 506 (LexisNexis 2011)&lt;/citation._current_string&gt;&lt;citation._full_string&gt;17 U.S.C.S. §506 (LexisNexis 2011)&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S. §506 &lt;/citation.value3&gt;&lt;citation.key4&gt;USCCodeCitation.USCTitleAndCode&lt;/citation.key4&gt;&lt;citation.value4&gt;17 U.S.C.S. &lt;/citation.value4&gt;&lt;citation.key5&gt;USCCodeCitation.USCTitleAndCode.USCS&lt;/citation.key5&gt;&lt;citation.value5&gt;U.S.C.S.&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506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506 &lt;/citation.value13&gt;&lt;citation.key14&gt;USCCodeCitation.__SectionOrSections.SectionNumberList.SectionNumberScalarOrRange&lt;/citation.key14&gt;&lt;citation.value14&gt;506 &lt;/citation.value14&gt;&lt;citation.key15&gt;USCCodeCitation.__SectionOrSections.SectionNumberList.SectionNumberScalarOrRange.SectionNumber&lt;/citation.key15&gt;&lt;citation.value15&gt;506&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LexisNexis 2011)&lt;/citation.value19&gt;&lt;citation.key20&gt;__AfterStatutoryCite.StatutoryCodeEditionCite&lt;/citation.key20&gt;&lt;citation.value20&gt; (LexisNexis 2011)&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LexisNexis 2011 &lt;/citation.value23&gt;&lt;citation.key24&gt;__AfterStatutoryCite.StatutoryCodeEditionCite.StatutoryCodeEdition.Publisher&lt;/citation.key24&gt;&lt;citation.value24&gt;LexisNexis&lt;/citation.value24&gt;&lt;citation.key25&gt;__AfterStatutoryCite.StatutoryCodeEditionCite.StatutoryCodeEdition.Year&lt;/citation.key25&gt;&lt;citation.value25&gt;2011 &lt;/citation.value25&gt;&lt;citation.key26&gt;__AfterStatutoryCite.StatutoryCodeEditionCite.StatutoryCodeEdition.Year.Year&lt;/citation.key26&gt;&lt;citation.value26&gt;2011&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88[0]" w:val="&lt;#1&gt;&lt;citation&gt;&lt;citation._original_string&gt;Mallard v. U.S. Dist. Court for S. Dist. of Iowa, 490 U.S. 296, 302 (1989)&lt;/citation._original_string&gt;&lt;citation._current_string&gt;Mallard v. U.S. Dist. Court for S. Dist. of Iowa, 490 U.S. 296, 302 (1989)&lt;/citation._current_string&gt;&lt;citation._full_string&gt;Mallard v. U.S. Dist. Court for S. Dist. of Iowa, 490 U.S. 296, 302 (1989)&lt;/citation._full_string&gt;&lt;citation._current_format&gt;Full.CaseCitation&lt;/citation._current_format&gt;&lt;citation.name&gt;&lt;/citation.name&gt;&lt;citation.key0&gt;,&lt;/citation.key0&gt;&lt;citation.value0&gt;,&lt;/citation.value0&gt;&lt;citation.key1&gt;CaseName&lt;/citation.key1&gt;&lt;citation.value1&gt;Mallard v. U.S. Dist. Court for S. Dist. of Iowa &lt;/citation.value1&gt;&lt;citation.key2&gt;CaseName.FirstParty&lt;/citation.key2&gt;&lt;citation.value2&gt;Mallard &lt;/citation.value2&gt;&lt;citation.key3&gt;CaseName.FirstParty.Party&lt;/citation.key3&gt;&lt;citation.value3&gt;Mallard&lt;/citation.value3&gt;&lt;citation.key4&gt;CaseName.FirstParty._Pattern&lt;/citation.key4&gt;&lt;citation.value4&gt;Party.Party&lt;/citation.value4&gt;&lt;citation.key5&gt;CaseName.SecondParty&lt;/citation.key5&gt;&lt;citation.value5&gt;U.S. Dist. Court for S. Dist. of Iowa &lt;/citation.value5&gt;&lt;citation.key6&gt;CaseName.SecondParty.Party&lt;/citation.key6&gt;&lt;citation.value6&gt;United States District Court for Southern District of Iowa&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89) &lt;/citation.value10&gt;&lt;citation.key11&gt;CourtParenthetical.Date&lt;/citation.key11&gt;&lt;citation.value11&gt;1989 &lt;/citation.value11&gt;&lt;citation.key12&gt;CourtParenthetical.Date.Year&lt;/citation.key12&gt;&lt;citation.value12&gt;1989 &lt;/citation.value12&gt;&lt;citation.key13&gt;CourtParenthetical.Date.Year.Year&lt;/citation.key13&gt;&lt;citation.value13&gt;1989&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Mallard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490 U.S. at 302&lt;/citation.value30&gt;&lt;citation.key31&gt;Reporter.FirstPage&lt;/citation.key31&gt;&lt;citation.value31&gt;296&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490&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302&lt;/citation.value40&gt;&lt;citation.key41&gt;Reporter.__PinPages.First&lt;/citation.key41&gt;&lt;citation.value41&gt;302&lt;/citation.value41&gt;&lt;citation.key42&gt;Reporter.__PinPages.First._Pattern&lt;/citation.key42&gt;&lt;citation.value42&gt;FirstPageInRange.FirstPageInRange&lt;/citation.value42&gt;&lt;citation.key43&gt;Reporter.__PinPages.First.__PageNumber&lt;/citation.key43&gt;&lt;citation.value43&gt;302&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U.S. Dist. Court for S. Dist. of Iowa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19[0]" w:val="&lt;#1&gt;&lt;citation&gt;&lt;citation._original_string&gt;Firestone Tire &amp; Rubber Co. v. Bruch, 489 U.S. 101, 103 (1989)&lt;/citation._original_string&gt;&lt;citation._current_string&gt;Firestone Tire &amp; Rubber Co. v. Bruch, 489 U.S. 101, 103 (1989)&lt;/citation._current_string&gt;&lt;citation._full_string&gt;Firestone Tire &amp; Rubber Co. v. Bruch, 489 U.S. 101, 103 (1989)&lt;/citation._full_string&gt;&lt;citation._current_format&gt;Full.CaseCitation&lt;/citation._current_format&gt;&lt;citation.name&gt;&lt;/citation.name&gt;&lt;citation.key0&gt;,&lt;/citation.key0&gt;&lt;citation.value0&gt;,&lt;/citation.value0&gt;&lt;citation.key1&gt;CaseName&lt;/citation.key1&gt;&lt;citation.value1&gt;Firestone Tire &amp; Rubber Co. v. Bruch &lt;/citation.value1&gt;&lt;citation.key2&gt;CaseName.FirstParty&lt;/citation.key2&gt;&lt;citation.value2&gt;Firestone Tire &amp; Rubber Co. &lt;/citation.value2&gt;&lt;citation.key3&gt;CaseName.FirstParty.Party&lt;/citation.key3&gt;&lt;citation.value3&gt;Firestone Tire &amp; Rubber Co.&lt;/citation.value3&gt;&lt;citation.key4&gt;CaseName.FirstParty._Pattern&lt;/citation.key4&gt;&lt;citation.value4&gt;Party.Party&lt;/citation.value4&gt;&lt;citation.key5&gt;CaseName.SecondParty&lt;/citation.key5&gt;&lt;citation.value5&gt;Bruch &lt;/citation.value5&gt;&lt;citation.key6&gt;CaseName.SecondParty.Party&lt;/citation.key6&gt;&lt;citation.value6&gt;Bruch&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89) &lt;/citation.value10&gt;&lt;citation.key11&gt;CourtParenthetical.Date&lt;/citation.key11&gt;&lt;citation.value11&gt;1989 &lt;/citation.value11&gt;&lt;citation.key12&gt;CourtParenthetical.Date.Year&lt;/citation.key12&gt;&lt;citation.value12&gt;1989 &lt;/citation.value12&gt;&lt;citation.key13&gt;CourtParenthetical.Date.Year.Year&lt;/citation.key13&gt;&lt;citation.value13&gt;1989&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Firestone Tire &amp; Rubber Co.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489 U.S. at 103&lt;/citation.value30&gt;&lt;citation.key31&gt;Reporter.FirstPage&lt;/citation.key31&gt;&lt;citation.value31&gt;101&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489&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103&lt;/citation.value40&gt;&lt;citation.key41&gt;Reporter.__PinPages.First&lt;/citation.key41&gt;&lt;citation.value41&gt;103&lt;/citation.value41&gt;&lt;citation.key42&gt;Reporter.__PinPages.First._Pattern&lt;/citation.key42&gt;&lt;citation.value42&gt;FirstPageInRange.FirstPageInRange&lt;/citation.value42&gt;&lt;citation.key43&gt;Reporter.__PinPages.First.__PageNumber&lt;/citation.key43&gt;&lt;citation.value43&gt;103&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Bruch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190[0]" w:val="&lt;#1&gt;&lt;citation&gt;&lt;citation._original_string&gt;See Gonzales v. Oregon¸ 546 U.S. 243, 257-58 (2006)&lt;/citation._original_string&gt;&lt;citation._current_string&gt;See Gonzales v. Oregon¸ 546 U.S. 243, 257-58 (2006)&lt;/citation._current_string&gt;&lt;citation._full_string&gt;see Gonzales v. Oregon¸ 546 U.S. 243, 257-58 (2006)&lt;/citation._full_string&gt;&lt;citation._current_format&gt;Full.Nonperiodicals&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NonperiodicalsEnd&lt;/citation.key3&gt;&lt;citation.value3&gt;243, 257-58 (2006) &lt;/citation.value3&gt;&lt;citation.key4&gt;NonperiodicalsEnd.(&lt;/citation.key4&gt;&lt;citation.value4&gt;(&lt;/citation.value4&gt;&lt;citation.key5&gt;NonperiodicalsEnd.)&lt;/citation.key5&gt;&lt;citation.value5&gt;)&lt;/citation.value5&gt;&lt;citation.key6&gt;NonperiodicalsEnd.ForbiddenComma._Pattern&lt;/citation.key6&gt;&lt;citation.value6&gt;ForbiddenComma.ForbiddenComma&lt;/citation.value6&gt;&lt;citation.key7&gt;NonperiodicalsEnd._Pattern&lt;/citation.key7&gt;&lt;citation.value7&gt;NonperiodicalsEnd.NonperiodicalsEnd&lt;/citation.value7&gt;&lt;citation.key8&gt;NonperiodicalsEnd.__PinPages&lt;/citation.key8&gt;&lt;citation.value8&gt;243, 257-58 &lt;/citation.value8&gt;&lt;citation.key9&gt;NonperiodicalsEnd.__PinPages.First&lt;/citation.key9&gt;&lt;citation.value9&gt;243&lt;/citation.value9&gt;&lt;citation.key10&gt;NonperiodicalsEnd.__PinPages.First._Pattern&lt;/citation.key10&gt;&lt;citation.value10&gt;FirstPageInRange.FirstPageInRange&lt;/citation.value10&gt;&lt;citation.key11&gt;NonperiodicalsEnd.__PinPages.First.__PageNumber&lt;/citation.key11&gt;&lt;citation.value11&gt;243&lt;/citation.value11&gt;&lt;citation.key12&gt;NonperiodicalsEnd.__PinPages.RequiredComma&lt;/citation.key12&gt;&lt;citation.value12&gt;, &lt;/citation.value12&gt;&lt;citation.key13&gt;NonperiodicalsEnd.__PinPages.RequiredComma.Comma&lt;/citation.key13&gt;&lt;citation.value13&gt;,&lt;/citation.value13&gt;&lt;citation.key14&gt;NonperiodicalsEnd.__PinPages.RequiredComma._Pattern&lt;/citation.key14&gt;&lt;citation.value14&gt;RequiredComma.RequiredComma&lt;/citation.value14&gt;&lt;citation.key15&gt;NonperiodicalsEnd.__PinPages._Pattern&lt;/citation.key15&gt;&lt;citation.value15&gt;PinPages.PinPages&lt;/citation.value15&gt;&lt;citation.key16&gt;NonperiodicalsEnd.__PinPages.__PinPages&lt;/citation.key16&gt;&lt;citation.value16&gt;257-58 &lt;/citation.value16&gt;&lt;citation.key17&gt;NonperiodicalsEnd.__PinPages.__PinPages.First&lt;/citation.key17&gt;&lt;citation.value17&gt;257&lt;/citation.value17&gt;&lt;citation.key18&gt;NonperiodicalsEnd.__PinPages.__PinPages.First._Pattern&lt;/citation.key18&gt;&lt;citation.value18&gt;FirstPageInRange.FirstPageInRange&lt;/citation.value18&gt;&lt;citation.key19&gt;NonperiodicalsEnd.__PinPages.__PinPages.First.__PageNumber&lt;/citation.key19&gt;&lt;citation.value19&gt;257&lt;/citation.value19&gt;&lt;citation.key20&gt;NonperiodicalsEnd.__PinPages.__PinPages.Last&lt;/citation.key20&gt;&lt;citation.value20&gt;58 &lt;/citation.value20&gt;&lt;citation.key21&gt;NonperiodicalsEnd.__PinPages.__PinPages.Last.PageNumber&lt;/citation.key21&gt;&lt;citation.value21&gt;58&lt;/citation.value21&gt;&lt;citation.key22&gt;NonperiodicalsEnd.__PinPages.__PinPages.Last.PageNumber_Full&lt;/citation.key22&gt;&lt;citation.value22&gt;258&lt;/citation.value22&gt;&lt;citation.key23&gt;NonperiodicalsEnd.__PinPages.__PinPages.Last._Pattern&lt;/citation.key23&gt;&lt;citation.value23&gt;LastPageNumber.LastPageNumber&lt;/citation.value23&gt;&lt;citation.key24&gt;NonperiodicalsEnd.__PinPages.__PinPages.RangeDash&lt;/citation.key24&gt;&lt;citation.value24&gt;-&lt;/citation.value24&gt;&lt;citation.key25&gt;NonperiodicalsEnd.__PinPages.__PinPages._Pattern&lt;/citation.key25&gt;&lt;citation.value25&gt;PinPages.PinPages&lt;/citation.value25&gt;&lt;citation.key26&gt;NonperiodicalsEnd.__Year&lt;/citation.key26&gt;&lt;citation.value26&gt;2006 &lt;/citation.value26&gt;&lt;citation.key27&gt;NonperiodicalsEnd.__Year.Year&lt;/citation.key27&gt;&lt;citation.value27&gt;2006&lt;/citation.value27&gt;&lt;citation.key28&gt;NonperiodicalsEnd.__Year._Pattern&lt;/citation.key28&gt;&lt;citation.value28&gt;Year.Year&lt;/citation.value28&gt;&lt;citation.key29&gt;NonperiodicalsEnd.__at&lt;/citation.key29&gt;&lt;citation.value29&gt;at &lt;/citation.value29&gt;&lt;citation.key30&gt;Title&lt;/citation.key30&gt;&lt;citation.value30&gt;Gonzales v. Oregon¸ 546 U.S.&lt;/citation.value30&gt;&lt;citation.key31&gt;__Signal&lt;/citation.key31&gt;&lt;citation.value31&gt;see &lt;/citation.value31&gt;&lt;citation.key32&gt;__Signal.ForbiddenComma._Pattern&lt;/citation.key32&gt;&lt;citation.value32&gt;ForbiddenComma.ForbiddenComma&lt;/citation.value32&gt;&lt;citation.key33&gt;__Signal.See&lt;/citation.key33&gt;&lt;citation.value33&gt;see&lt;/citation.value33&gt;&lt;citation.key34&gt;__Signal._Pattern&lt;/citation.key34&gt;&lt;citation.value34&gt;Signal.Signal&lt;/citation.value34&gt;&lt;/citation&gt;_x000a_"/>
    <w:docVar w:name="CITRUS_BOOKMARK191[0]" w:val="&lt;#1&gt;&lt;citation&gt;&lt;citation._original_string&gt;Gonzales v. Oregon¸ 546 U.S. 243, 257-58 (2006)&lt;/citation._original_string&gt;&lt;citation._current_string&gt;Gonzales v. Oregon¸ 546 U.S. 243, 257-58 (2006)&lt;/citation._current_string&gt;&lt;citation._full_string&gt;Gonzales v. Oregon¸ 546 U.S. 243, 257-58 (2006)&lt;/citation._full_string&gt;&lt;citation._current_format&gt;Full.Nonperiodicals&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NonperiodicalsEnd&lt;/citation.key3&gt;&lt;citation.value3&gt;243, 257-58 (2006) &lt;/citation.value3&gt;&lt;citation.key4&gt;NonperiodicalsEnd.(&lt;/citation.key4&gt;&lt;citation.value4&gt;(&lt;/citation.value4&gt;&lt;citation.key5&gt;NonperiodicalsEnd.)&lt;/citation.key5&gt;&lt;citation.value5&gt;)&lt;/citation.value5&gt;&lt;citation.key6&gt;NonperiodicalsEnd.ForbiddenComma._Pattern&lt;/citation.key6&gt;&lt;citation.value6&gt;ForbiddenComma.ForbiddenComma&lt;/citation.value6&gt;&lt;citation.key7&gt;NonperiodicalsEnd._Pattern&lt;/citation.key7&gt;&lt;citation.value7&gt;NonperiodicalsEnd.NonperiodicalsEnd&lt;/citation.value7&gt;&lt;citation.key8&gt;NonperiodicalsEnd.__PinPages&lt;/citation.key8&gt;&lt;citation.value8&gt;243, 257-58 &lt;/citation.value8&gt;&lt;citation.key9&gt;NonperiodicalsEnd.__PinPages.First&lt;/citation.key9&gt;&lt;citation.value9&gt;243&lt;/citation.value9&gt;&lt;citation.key10&gt;NonperiodicalsEnd.__PinPages.First._Pattern&lt;/citation.key10&gt;&lt;citation.value10&gt;FirstPageInRange.FirstPageInRange&lt;/citation.value10&gt;&lt;citation.key11&gt;NonperiodicalsEnd.__PinPages.First.__PageNumber&lt;/citation.key11&gt;&lt;citation.value11&gt;243&lt;/citation.value11&gt;&lt;citation.key12&gt;NonperiodicalsEnd.__PinPages.RequiredComma&lt;/citation.key12&gt;&lt;citation.value12&gt;, &lt;/citation.value12&gt;&lt;citation.key13&gt;NonperiodicalsEnd.__PinPages.RequiredComma.Comma&lt;/citation.key13&gt;&lt;citation.value13&gt;,&lt;/citation.value13&gt;&lt;citation.key14&gt;NonperiodicalsEnd.__PinPages.RequiredComma._Pattern&lt;/citation.key14&gt;&lt;citation.value14&gt;RequiredComma.RequiredComma&lt;/citation.value14&gt;&lt;citation.key15&gt;NonperiodicalsEnd.__PinPages._Pattern&lt;/citation.key15&gt;&lt;citation.value15&gt;PinPages.PinPages&lt;/citation.value15&gt;&lt;citation.key16&gt;NonperiodicalsEnd.__PinPages.__PinPages&lt;/citation.key16&gt;&lt;citation.value16&gt;257-58 &lt;/citation.value16&gt;&lt;citation.key17&gt;NonperiodicalsEnd.__PinPages.__PinPages.First&lt;/citation.key17&gt;&lt;citation.value17&gt;257&lt;/citation.value17&gt;&lt;citation.key18&gt;NonperiodicalsEnd.__PinPages.__PinPages.First._Pattern&lt;/citation.key18&gt;&lt;citation.value18&gt;FirstPageInRange.FirstPageInRange&lt;/citation.value18&gt;&lt;citation.key19&gt;NonperiodicalsEnd.__PinPages.__PinPages.First.__PageNumber&lt;/citation.key19&gt;&lt;citation.value19&gt;257&lt;/citation.value19&gt;&lt;citation.key20&gt;NonperiodicalsEnd.__PinPages.__PinPages.Last&lt;/citation.key20&gt;&lt;citation.value20&gt;58 &lt;/citation.value20&gt;&lt;citation.key21&gt;NonperiodicalsEnd.__PinPages.__PinPages.Last.PageNumber&lt;/citation.key21&gt;&lt;citation.value21&gt;58&lt;/citation.value21&gt;&lt;citation.key22&gt;NonperiodicalsEnd.__PinPages.__PinPages.Last.PageNumber_Full&lt;/citation.key22&gt;&lt;citation.value22&gt;258&lt;/citation.value22&gt;&lt;citation.key23&gt;NonperiodicalsEnd.__PinPages.__PinPages.Last._Pattern&lt;/citation.key23&gt;&lt;citation.value23&gt;LastPageNumber.LastPageNumber&lt;/citation.value23&gt;&lt;citation.key24&gt;NonperiodicalsEnd.__PinPages.__PinPages.RangeDash&lt;/citation.key24&gt;&lt;citation.value24&gt;-&lt;/citation.value24&gt;&lt;citation.key25&gt;NonperiodicalsEnd.__PinPages.__PinPages._Pattern&lt;/citation.key25&gt;&lt;citation.value25&gt;PinPages.PinPages&lt;/citation.value25&gt;&lt;citation.key26&gt;NonperiodicalsEnd.__Year&lt;/citation.key26&gt;&lt;citation.value26&gt;2006 &lt;/citation.value26&gt;&lt;citation.key27&gt;NonperiodicalsEnd.__Year.Year&lt;/citation.key27&gt;&lt;citation.value27&gt;2006&lt;/citation.value27&gt;&lt;citation.key28&gt;NonperiodicalsEnd.__Year._Pattern&lt;/citation.key28&gt;&lt;citation.value28&gt;Year.Year&lt;/citation.value28&gt;&lt;citation.key29&gt;NonperiodicalsEnd.__at&lt;/citation.key29&gt;&lt;citation.value29&gt;at &lt;/citation.value29&gt;&lt;citation.key30&gt;Title&lt;/citation.key30&gt;&lt;citation.value30&gt;Gonzales v. Oregon¸ 546 U.S.&lt;/citation.value30&gt;&lt;/citation&gt;_x000a_"/>
    <w:docVar w:name="CITRUS_BOOKMARK2[0]" w:val="&lt;#1&gt;&lt;citation&gt;&lt;citation._original_string&gt;17 U.S.C. S101(2)&lt;/citation._original_string&gt;&lt;citation._current_string&gt;17 U.S.C.S. § 101(2)&lt;/citation._current_string&gt;&lt;citation._full_string&gt;17 U.S.C.S. §101(2) (Law. Co-op. 1978)&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S. §101(2) &lt;/citation.value3&gt;&lt;citation.key4&gt;USCCodeCitation.USCTitleAndCode&lt;/citation.key4&gt;&lt;citation.value4&gt;17 U.S.C.S. &lt;/citation.value4&gt;&lt;citation.key5&gt;USCCodeCitation.USCTitleAndCode.USCS&lt;/citation.key5&gt;&lt;citation.value5&gt;U.S.C.S.&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2)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2) &lt;/citation.value13&gt;&lt;citation.key14&gt;USCCodeCitation.__SectionOrSections.SectionNumberList.SectionNumberScalarOrRange&lt;/citation.key14&gt;&lt;citation.value14&gt;101(2) &lt;/citation.value14&gt;&lt;citation.key15&gt;USCCodeCitation.__SectionOrSections.SectionNumberList.SectionNumberScalarOrRange.SectionNumber&lt;/citation.key15&gt;&lt;citation.value15&gt;101(2)&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Law. Co-op. 1978)&lt;/citation.value19&gt;&lt;citation.key20&gt;__AfterStatutoryCite.StatutoryCodeEditionCite&lt;/citation.key20&gt;&lt;citation.value20&gt;(1978)&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1978&lt;/citation.value23&gt;&lt;citation.key24&gt;__AfterStatutoryCite.StatutoryCodeEditionCite.StatutoryCodeEdition.Publisher&lt;/citation.key24&gt;&lt;citation.value24&gt;Law. Co-op.&lt;/citation.value24&gt;&lt;citation.key25&gt;__AfterStatutoryCite.StatutoryCodeEditionCite.StatutoryCodeEdition.Year&lt;/citation.key25&gt;&lt;citation.value25&gt;1978&lt;/citation.value25&gt;&lt;citation.key26&gt;__AfterStatutoryCite.StatutoryCodeEditionCite.StatutoryCodeEdition.Year.Year&lt;/citation.key26&gt;&lt;citation.value26&gt;1978&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22[0]" w:val="&lt;#1&gt;&lt;citation&gt;&lt;citation._original_string&gt;Discuss: Easter Seal Soc. for Crippled Children &amp; Adults, Inc. v. Playboy Enters., 815 F.2d 323, 1987 U.S. App. LEXIS 5337, at *2 (1987)&lt;/citation._original_string&gt;&lt;citation._current_string&gt;Discuss: Easter Seal Soc. for Crippled Children &amp; Adults, Inc. v. Playboy Enters., 815 F.2d 323, 1987 U.S. App. LEXIS 5337, at *2 (1987)&lt;/citation._current_string&gt;&lt;citation._full_string&gt;Discuss: Easter Seal Soc. for Crippled Children &amp; Adults, Inc. v. Playboy Enters., 815 F.2d 323, , 1987 U.S. App. LEXIS 5337, at *2 (1987)&lt;/citation._full_string&gt;&lt;citation._current_format&gt;Full.CaseCitation&lt;/citation._current_format&gt;&lt;citation.name&gt;&lt;/citation.name&gt;&lt;citation.key0&gt;,&lt;/citation.key0&gt;&lt;citation.value0&gt;,&lt;/citation.value0&gt;&lt;citation.key1&gt;CaseName&lt;/citation.key1&gt;&lt;citation.value1&gt;Discuss: Easter Seal Soc. for Crippled Children &amp; Adults, Inc. v. Playboy Enters. &lt;/citation.value1&gt;&lt;citation.key2&gt;CaseName.FirstParty&lt;/citation.key2&gt;&lt;citation.value2&gt;Discuss: Easter Seal Soc. for Crippled Children &amp; Adults, Inc. &lt;/citation.value2&gt;&lt;citation.key3&gt;CaseName.FirstParty.Party&lt;/citation.key3&gt;&lt;citation.value3&gt;Discuss: Easter Seal Soc. for Crippled Children &amp; Adults, Inc.&lt;/citation.value3&gt;&lt;citation.key4&gt;CaseName.FirstParty._Pattern&lt;/citation.key4&gt;&lt;citation.value4&gt;Party.Party&lt;/citation.value4&gt;&lt;citation.key5&gt;CaseName.SecondParty&lt;/citation.key5&gt;&lt;citation.value5&gt;Playboy Enters. &lt;/citation.value5&gt;&lt;citation.key6&gt;CaseName.SecondParty.Party&lt;/citation.key6&gt;&lt;citation.value6&gt;Playboy Enters.&lt;/citation.value6&gt;&lt;citation.key7&gt;CaseName.SecondParty._Pattern&lt;/citation.key7&gt;&lt;citation.value7&gt;Party.Party&lt;/citation.value7&gt;&lt;citation.key8&gt;CaseName._Pattern&lt;/citation.key8&gt;&lt;citation.value8&gt;CaseName.CaseName&lt;/citation.value8&gt;&lt;citation.key9&gt;CaseName.v&lt;/citation.key9&gt;&lt;citation.value9&gt;v.&lt;/citation.value9&gt;&lt;citation.key10&gt;CourtParenthetical&lt;/citation.key10&gt;&lt;citation.value10&gt; (1987) &lt;/citation.value10&gt;&lt;citation.key11&gt;CourtParenthetical.Date&lt;/citation.key11&gt;&lt;citation.value11&gt;1987 &lt;/citation.value11&gt;&lt;citation.key12&gt;CourtParenthetical.Date.Year&lt;/citation.key12&gt;&lt;citation.value12&gt;1987 &lt;/citation.value12&gt;&lt;citation.key13&gt;CourtParenthetical.Date.Year.Year&lt;/citation.key13&gt;&lt;citation.value13&gt;1987&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Id&lt;/citation.key24&gt;&lt;citation.value24&gt;Id. &lt;/citation.value24&gt;&lt;citation.key25&gt;Id.Id&lt;/citation.key25&gt;&lt;citation.value25&gt;Id.&lt;/citation.value25&gt;&lt;citation.key26&gt;Id._Pattern&lt;/citation.key26&gt;&lt;citation.value26&gt;IdGraph.IdGraph&lt;/citation.value26&gt;&lt;citation.key27&gt;NY L Paren&lt;/citation.key27&gt;&lt;citation.value27&gt;(&lt;/citation.value27&gt;&lt;citation.key28&gt;NY R Paren&lt;/citation.key28&gt;&lt;citation.value28&gt;)&lt;/citation.value28&gt;&lt;citation.key29&gt;Reporter&lt;/citation.key29&gt;&lt;citation.value29&gt;815 F.2d 323 &lt;/citation.value29&gt;&lt;citation.key30&gt;Reporter.FirstPage&lt;/citation.key30&gt;&lt;citation.value30&gt;323&lt;/citation.value30&gt;&lt;citation.key31&gt;Reporter.Name&lt;/citation.key31&gt;&lt;citation.value31&gt;F.2d&lt;/citation.value31&gt;&lt;citation.key32&gt;Reporter.Volume&lt;/citation.key32&gt;&lt;citation.value32&gt;815&lt;/citation.value32&gt;&lt;citation.key33&gt;Reporter.[&lt;/citation.key33&gt;&lt;citation.value33&gt;[&lt;/citation.value33&gt;&lt;citation.key34&gt;Reporter.]&lt;/citation.key34&gt;&lt;citation.value34&gt;]&lt;/citation.value34&gt;&lt;citation.key35&gt;Reporter._Pattern&lt;/citation.key35&gt;&lt;citation.value35&gt;Reporter.Reporter&lt;/citation.value35&gt;&lt;citation.key36&gt;Reporter.page&lt;/citation.key36&gt;&lt;citation.value36&gt;page&lt;/citation.value36&gt;&lt;citation.key37&gt;RequiredComma._Pattern&lt;/citation.key37&gt;&lt;citation.value37&gt;RequiredComma.RequiredComma&lt;/citation.value37&gt;&lt;citation.key38&gt;UnreportedCase&lt;/citation.key38&gt;&lt;citation.value38&gt;, 1987 U.S. App. LEXIS 5337, at *2 &lt;/citation.value38&gt;&lt;citation.key39&gt;UnreportedCase.,&lt;/citation.key39&gt;&lt;citation.value39&gt;,&lt;/citation.value39&gt;&lt;citation.key40&gt;UnreportedCase.Database&lt;/citation.key40&gt;&lt;citation.value40&gt;1987 U.S. App. LEXIS 5337 &lt;/citation.value40&gt;&lt;citation.key41&gt;UnreportedCase.Database.DBReference&lt;/citation.key41&gt;&lt;citation.value41&gt;1987 U.S. App. LEXIS 5337 &lt;/citation.value41&gt;&lt;citation.key42&gt;UnreportedCase.Database.DBReference.DBNumber&lt;/citation.key42&gt;&lt;citation.value42&gt;5337&lt;/citation.value42&gt;&lt;citation.key43&gt;UnreportedCase.Database.DBReference.LexisDB&lt;/citation.key43&gt;&lt;citation.value43&gt;U.S. App. LEXIS&lt;/citation.value43&gt;&lt;citation.key44&gt;UnreportedCase.Database.DBReference.Year&lt;/citation.key44&gt;&lt;citation.value44&gt;1987 &lt;/citation.value44&gt;&lt;citation.key45&gt;UnreportedCase.Database.DBReference.Year.Year&lt;/citation.key45&gt;&lt;citation.value45&gt;1987&lt;/citation.value45&gt;&lt;citation.key46&gt;UnreportedCase.Database.DBReference.Year._Pattern&lt;/citation.key46&gt;&lt;citation.value46&gt;Year.Year&lt;/citation.value46&gt;&lt;citation.key47&gt;UnreportedCase.Database.DBReference._Pattern&lt;/citation.key47&gt;&lt;citation.value47&gt;Case_DatabaseReference.Case_DatabaseReference&lt;/citation.value47&gt;&lt;citation.key48&gt;UnreportedCase.Database._Pattern&lt;/citation.key48&gt;&lt;citation.value48&gt;Case_DatabaseList.Case_DatabaseList&lt;/citation.value48&gt;&lt;citation.key49&gt;UnreportedCase.RequiredComma&lt;/citation.key49&gt;&lt;citation.value49&gt;, &lt;/citation.value49&gt;&lt;citation.key50&gt;UnreportedCase.RequiredComma.Comma&lt;/citation.key50&gt;&lt;citation.value50&gt;,&lt;/citation.value50&gt;&lt;citation.key51&gt;UnreportedCase.RequiredComma._Pattern&lt;/citation.key51&gt;&lt;citation.value51&gt;RequiredComma.RequiredComma&lt;/citation.value51&gt;&lt;citation.key52&gt;UnreportedCase._Pattern&lt;/citation.key52&gt;&lt;citation.value52&gt;UnreportedCase.UnreportedCase&lt;/citation.value52&gt;&lt;citation.key53&gt;UnreportedCase.__PinPages&lt;/citation.key53&gt;&lt;citation.value53&gt;*2 &lt;/citation.value53&gt;&lt;citation.key54&gt;UnreportedCase.__PinPages.Asterisk&lt;/citation.key54&gt;&lt;citation.value54&gt;*&lt;/citation.value54&gt;&lt;citation.key55&gt;UnreportedCase.__PinPages.First&lt;/citation.key55&gt;&lt;citation.value55&gt;2&lt;/citation.value55&gt;&lt;citation.key56&gt;UnreportedCase.__PinPages._Pattern&lt;/citation.key56&gt;&lt;citation.value56&gt;PinPagesDB.PinPagesDB&lt;/citation.value56&gt;&lt;citation.key57&gt;UnreportedCase.at&lt;/citation.key57&gt;&lt;citation.value57&gt;at&lt;/citation.value57&gt;&lt;citation.key58&gt;supra&lt;/citation.key58&gt;&lt;citation.value58&gt;&lt;/citation.value58&gt;&lt;citation.key59&gt;supra.,&lt;/citation.key59&gt;&lt;citation.value59&gt;, &lt;/citation.value59&gt;&lt;citation.key60&gt;supra._Pattern&lt;/citation.key60&gt;&lt;citation.value60&gt;ShortCaseSupra.ShortCaseSupra&lt;/citation.value60&gt;&lt;citation.key61&gt;supra.supra&lt;/citation.key61&gt;&lt;citation.value61&gt;supra&lt;/citation.value61&gt;&lt;/citation&gt;_x000a_"/>
    <w:docVar w:name="CITRUS_BOOKMARK23[0]" w:val="&lt;#1&gt;&lt;citation&gt;&lt;citation._original_string&gt;May v. Morganelli-Heumann &amp; Assocs., 618 F.2d 1363, 1980 U.S. App. LEXIS 17536, at *207 (1980)&lt;/citation._original_string&gt;&lt;citation._current_string&gt;May v. Morganelli-Heumann &amp; Assocs., 618 F.2d 1363, 1980 U.S. App. LEXIS 17536, at *207 (1980)&lt;/citation._current_string&gt;&lt;citation._full_string&gt;May v. Morganelli-Heumann &amp; Assocs., 618 F.2d 1363, , 1980 U.S. App. LEXIS 17536, at *207 (1980)&lt;/citation._full_string&gt;&lt;citation._current_format&gt;Full.CaseCitation&lt;/citation._current_format&gt;&lt;citation.name&gt;&lt;/citation.name&gt;&lt;citation.key0&gt;,&lt;/citation.key0&gt;&lt;citation.value0&gt;,&lt;/citation.value0&gt;&lt;citation.key1&gt;CaseName&lt;/citation.key1&gt;&lt;citation.value1&gt;May v. Morganelli-Heumann &amp; Assocs. &lt;/citation.value1&gt;&lt;citation.key2&gt;CaseName.FirstParty&lt;/citation.key2&gt;&lt;citation.value2&gt;May &lt;/citation.value2&gt;&lt;citation.key3&gt;CaseName.FirstParty.Party&lt;/citation.key3&gt;&lt;citation.value3&gt;May&lt;/citation.value3&gt;&lt;citation.key4&gt;CaseName.FirstParty._Pattern&lt;/citation.key4&gt;&lt;citation.value4&gt;Party.Party&lt;/citation.value4&gt;&lt;citation.key5&gt;CaseName.SecondParty&lt;/citation.key5&gt;&lt;citation.value5&gt;Morganelli-Heumann &amp; Assocs. &lt;/citation.value5&gt;&lt;citation.key6&gt;CaseName.SecondParty.Party&lt;/citation.key6&gt;&lt;citation.value6&gt;Morganelli-Heumann &amp; Assocs.&lt;/citation.value6&gt;&lt;citation.key7&gt;CaseName.SecondParty._Pattern&lt;/citation.key7&gt;&lt;citation.value7&gt;Party.Party&lt;/citation.value7&gt;&lt;citation.key8&gt;CaseName._Pattern&lt;/citation.key8&gt;&lt;citation.value8&gt;CaseName.CaseName&lt;/citation.value8&gt;&lt;citation.key9&gt;CaseName.v&lt;/citation.key9&gt;&lt;citation.value9&gt;v.&lt;/citation.value9&gt;&lt;citation.key10&gt;CourtParenthetical&lt;/citation.key10&gt;&lt;citation.value10&gt; (1980) &lt;/citation.value10&gt;&lt;citation.key11&gt;CourtParenthetical.Date&lt;/citation.key11&gt;&lt;citation.value11&gt;1980 &lt;/citation.value11&gt;&lt;citation.key12&gt;CourtParenthetical.Date.Year&lt;/citation.key12&gt;&lt;citation.value12&gt;1980 &lt;/citation.value12&gt;&lt;citation.key13&gt;CourtParenthetical.Date.Year.Year&lt;/citation.key13&gt;&lt;citation.value13&gt;1980&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Id&lt;/citation.key24&gt;&lt;citation.value24&gt;Id. &lt;/citation.value24&gt;&lt;citation.key25&gt;Id.Id&lt;/citation.key25&gt;&lt;citation.value25&gt;Id.&lt;/citation.value25&gt;&lt;citation.key26&gt;Id._Pattern&lt;/citation.key26&gt;&lt;citation.value26&gt;IdGraph.IdGraph&lt;/citation.value26&gt;&lt;citation.key27&gt;NY L Paren&lt;/citation.key27&gt;&lt;citation.value27&gt;(&lt;/citation.value27&gt;&lt;citation.key28&gt;NY R Paren&lt;/citation.key28&gt;&lt;citation.value28&gt;)&lt;/citation.value28&gt;&lt;citation.key29&gt;Reporter&lt;/citation.key29&gt;&lt;citation.value29&gt;618 F.2d 1363 &lt;/citation.value29&gt;&lt;citation.key30&gt;Reporter.FirstPage&lt;/citation.key30&gt;&lt;citation.value30&gt;1363&lt;/citation.value30&gt;&lt;citation.key31&gt;Reporter.Name&lt;/citation.key31&gt;&lt;citation.value31&gt;F.2d&lt;/citation.value31&gt;&lt;citation.key32&gt;Reporter.Volume&lt;/citation.key32&gt;&lt;citation.value32&gt;618&lt;/citation.value32&gt;&lt;citation.key33&gt;Reporter.[&lt;/citation.key33&gt;&lt;citation.value33&gt;[&lt;/citation.value33&gt;&lt;citation.key34&gt;Reporter.]&lt;/citation.key34&gt;&lt;citation.value34&gt;]&lt;/citation.value34&gt;&lt;citation.key35&gt;Reporter._Pattern&lt;/citation.key35&gt;&lt;citation.value35&gt;Reporter.Reporter&lt;/citation.value35&gt;&lt;citation.key36&gt;Reporter.page&lt;/citation.key36&gt;&lt;citation.value36&gt;page&lt;/citation.value36&gt;&lt;citation.key37&gt;RequiredComma._Pattern&lt;/citation.key37&gt;&lt;citation.value37&gt;RequiredComma.RequiredComma&lt;/citation.value37&gt;&lt;citation.key38&gt;UnreportedCase&lt;/citation.key38&gt;&lt;citation.value38&gt;, 1980 U.S. App. LEXIS 17536, at *207 &lt;/citation.value38&gt;&lt;citation.key39&gt;UnreportedCase.,&lt;/citation.key39&gt;&lt;citation.value39&gt;,&lt;/citation.value39&gt;&lt;citation.key40&gt;UnreportedCase.Database&lt;/citation.key40&gt;&lt;citation.value40&gt;1980 U.S. App. LEXIS 17536 &lt;/citation.value40&gt;&lt;citation.key41&gt;UnreportedCase.Database.DBReference&lt;/citation.key41&gt;&lt;citation.value41&gt;1980 U.S. App. LEXIS 17536 &lt;/citation.value41&gt;&lt;citation.key42&gt;UnreportedCase.Database.DBReference.DBNumber&lt;/citation.key42&gt;&lt;citation.value42&gt;17536&lt;/citation.value42&gt;&lt;citation.key43&gt;UnreportedCase.Database.DBReference.LexisDB&lt;/citation.key43&gt;&lt;citation.value43&gt;U.S. App. LEXIS&lt;/citation.value43&gt;&lt;citation.key44&gt;UnreportedCase.Database.DBReference.Year&lt;/citation.key44&gt;&lt;citation.value44&gt;1980 &lt;/citation.value44&gt;&lt;citation.key45&gt;UnreportedCase.Database.DBReference.Year.Year&lt;/citation.key45&gt;&lt;citation.value45&gt;1980&lt;/citation.value45&gt;&lt;citation.key46&gt;UnreportedCase.Database.DBReference.Year._Pattern&lt;/citation.key46&gt;&lt;citation.value46&gt;Year.Year&lt;/citation.value46&gt;&lt;citation.key47&gt;UnreportedCase.Database.DBReference._Pattern&lt;/citation.key47&gt;&lt;citation.value47&gt;Case_DatabaseReference.Case_DatabaseReference&lt;/citation.value47&gt;&lt;citation.key48&gt;UnreportedCase.Database._Pattern&lt;/citation.key48&gt;&lt;citation.value48&gt;Case_DatabaseList.Case_DatabaseList&lt;/citation.value48&gt;&lt;citation.key49&gt;UnreportedCase.RequiredComma&lt;/citation.key49&gt;&lt;citation.value49&gt;, &lt;/citation.value49&gt;&lt;citation.key50&gt;UnreportedCase.RequiredComma.Comma&lt;/citation.key50&gt;&lt;citation.value50&gt;,&lt;/citation.value50&gt;&lt;citation.key51&gt;UnreportedCase.RequiredComma._Pattern&lt;/citation.key51&gt;&lt;citation.value51&gt;RequiredComma.RequiredComma&lt;/citation.value51&gt;&lt;citation.key52&gt;UnreportedCase._Pattern&lt;/citation.key52&gt;&lt;citation.value52&gt;UnreportedCase.UnreportedCase&lt;/citation.value52&gt;&lt;citation.key53&gt;UnreportedCase.__PinPages&lt;/citation.key53&gt;&lt;citation.value53&gt;*207 &lt;/citation.value53&gt;&lt;citation.key54&gt;UnreportedCase.__PinPages.Asterisk&lt;/citation.key54&gt;&lt;citation.value54&gt;*&lt;/citation.value54&gt;&lt;citation.key55&gt;UnreportedCase.__PinPages.First&lt;/citation.key55&gt;&lt;citation.value55&gt;207&lt;/citation.value55&gt;&lt;citation.key56&gt;UnreportedCase.__PinPages._Pattern&lt;/citation.key56&gt;&lt;citation.value56&gt;PinPagesDB.PinPagesDB&lt;/citation.value56&gt;&lt;citation.key57&gt;UnreportedCase.at&lt;/citation.key57&gt;&lt;citation.value57&gt;at&lt;/citation.value57&gt;&lt;citation.key58&gt;supra&lt;/citation.key58&gt;&lt;citation.value58&gt;&lt;/citation.value58&gt;&lt;citation.key59&gt;supra.,&lt;/citation.key59&gt;&lt;citation.value59&gt;, &lt;/citation.value59&gt;&lt;citation.key60&gt;supra._Pattern&lt;/citation.key60&gt;&lt;citation.value60&gt;ShortCaseSupra.ShortCaseSupra&lt;/citation.value60&gt;&lt;citation.key61&gt;supra.supra&lt;/citation.key61&gt;&lt;citation.value61&gt;supra&lt;/citation.value61&gt;&lt;/citation&gt;_x000a_"/>
    <w:docVar w:name="CITRUS_BOOKMARK24[0]" w:val="&lt;#1&gt;&lt;citation&gt;&lt;citation._original_string&gt;Warren v. Fox Family Worldwide, Inc., 328 F.3d 1136 (9th Cir. 2003)&lt;/citation._original_string&gt;&lt;citation._current_string&gt;Warren v. Fox Family Worldwide, Inc., 328 F.3d 1136 (9th Cir. 2003)&lt;/citation._current_string&gt;&lt;citation._full_string&gt;Warren v. Fox Family Worldwide, Inc., 328 F.3d 1136 (9th Cir. 2003)&lt;/citation._full_string&gt;&lt;citation._current_format&gt;Full.CaseCitation&lt;/citation._current_format&gt;&lt;citation.name&gt;&lt;/citation.name&gt;&lt;citation.key0&gt;,&lt;/citation.key0&gt;&lt;citation.value0&gt;,&lt;/citation.value0&gt;&lt;citation.key1&gt;CaseName&lt;/citation.key1&gt;&lt;citation.value1&gt;Warren v. Fox Family Worldwide, Inc. &lt;/citation.value1&gt;&lt;citation.key2&gt;CaseName.FirstParty&lt;/citation.key2&gt;&lt;citation.value2&gt;Warren &lt;/citation.value2&gt;&lt;citation.key3&gt;CaseName.FirstParty.Party&lt;/citation.key3&gt;&lt;citation.value3&gt;Warren&lt;/citation.value3&gt;&lt;citation.key4&gt;CaseName.FirstParty._Pattern&lt;/citation.key4&gt;&lt;citation.value4&gt;Party.Party&lt;/citation.value4&gt;&lt;citation.key5&gt;CaseName.SecondParty&lt;/citation.key5&gt;&lt;citation.value5&gt;Fox Family Worldwide, Inc. &lt;/citation.value5&gt;&lt;citation.key6&gt;CaseName.SecondParty.Party&lt;/citation.key6&gt;&lt;citation.value6&gt;Fox Family Worldwide, Inc.&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9th Cir. 2003) &lt;/citation.value10&gt;&lt;citation.key11&gt;CourtParenthetical.CourtName&lt;/citation.key11&gt;&lt;citation.value11&gt;9th Cir. &lt;/citation.value11&gt;&lt;citation.key12&gt;CourtParenthetical.CourtName.CourtName&lt;/citation.key12&gt;&lt;citation.value12&gt;9th Cir.&lt;/citation.value12&gt;&lt;citation.key13&gt;CourtParenthetical.CourtName._Pattern&lt;/citation.key13&gt;&lt;citation.value13&gt;CourtName.CourtName&lt;/citation.value13&gt;&lt;citation.key14&gt;CourtParenthetical.Date&lt;/citation.key14&gt;&lt;citation.value14&gt;2003 &lt;/citation.value14&gt;&lt;citation.key15&gt;CourtParenthetical.Date.Year&lt;/citation.key15&gt;&lt;citation.value15&gt;2003 &lt;/citation.value15&gt;&lt;citation.key16&gt;CourtParenthetical.Date.Year.Year&lt;/citation.key16&gt;&lt;citation.value16&gt;2003&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328 F.3d 1136 &lt;/citation.value32&gt;&lt;citation.key33&gt;Reporter.FirstPage&lt;/citation.key33&gt;&lt;citation.value33&gt;1136&lt;/citation.value33&gt;&lt;citation.key34&gt;Reporter.Name&lt;/citation.key34&gt;&lt;citation.value34&gt;F.3d&lt;/citation.value34&gt;&lt;citation.key35&gt;Reporter.Volume&lt;/citation.key35&gt;&lt;citation.value35&gt;328&lt;/citation.value35&gt;&lt;citation.key36&gt;Reporter.[&lt;/citation.key36&gt;&lt;citation.value36&gt;[&lt;/citation.value36&gt;&lt;citation.key37&gt;Reporter.]&lt;/citation.key37&gt;&lt;citation.value37&gt;]&lt;/citation.value37&gt;&lt;citation.key38&gt;Reporter._Pattern&lt;/citation.key38&gt;&lt;citation.value38&gt;ShortReporter.ShortReporter&lt;/citation.value38&gt;&lt;citation.key39&gt;Reporter.page&lt;/citation.key39&gt;&lt;citation.value39&gt;page&lt;/citation.value39&gt;&lt;citation.key40&gt;RequiredComma&lt;/citation.key40&gt;&lt;citation.value40&gt;, &lt;/citation.value40&gt;&lt;citation.key41&gt;RequiredComma.Comma&lt;/citation.key41&gt;&lt;citation.value41&gt;,&lt;/citation.value41&gt;&lt;citation.key42&gt;RequiredComma._Pattern&lt;/citation.key42&gt;&lt;citation.value42&gt;RequiredComma.RequiredComma&lt;/citation.value42&gt;&lt;citation.key43&gt;supra&lt;/citation.key43&gt;&lt;citation.value43&gt;&lt;/citation.value43&gt;&lt;citation.key44&gt;supra.,&lt;/citation.key44&gt;&lt;citation.value44&gt;, &lt;/citation.value44&gt;&lt;citation.key45&gt;supra._Pattern&lt;/citation.key45&gt;&lt;citation.value45&gt;ShortCaseSupra.ShortCaseSupra&lt;/citation.value45&gt;&lt;citation.key46&gt;supra.supra&lt;/citation.key46&gt;&lt;citation.value46&gt;supra&lt;/citation.value46&gt;&lt;/citation&gt;_x000a_"/>
    <w:docVar w:name="CITRUS_BOOKMARK28[0]" w:val="&lt;#1&gt;&lt;citation&gt;&lt;citation._original_string&gt;Cmty. for Creative Non-Violence v. Reid, 490 U.S. 730 (1989)&lt;/citation._original_string&gt;&lt;citation._current_string&gt;Cmty. for Creative Non-Violence v. Reid, 490 U.S. 730 (1989)&lt;/citation._current_string&gt;&lt;citation._full_string&gt;Cmty. for Creative Non-Violence v. Reid, 490 U.S. 730 (1989)&lt;/citation._full_string&gt;&lt;citation._current_format&gt;Full.CaseCitation&lt;/citation._current_format&gt;&lt;citation.name&gt;&lt;/citation.name&gt;&lt;citation.key0&gt;,&lt;/citation.key0&gt;&lt;citation.value0&gt;,&lt;/citation.value0&gt;&lt;citation.key1&gt;CaseName&lt;/citation.key1&gt;&lt;citation.value1&gt;Cmty. for Creative Non-Violence v. Reid &lt;/citation.value1&gt;&lt;citation.key2&gt;CaseName.FirstParty&lt;/citation.key2&gt;&lt;citation.value2&gt;Cmty. for Creative Non-Violence &lt;/citation.value2&gt;&lt;citation.key3&gt;CaseName.FirstParty.Party&lt;/citation.key3&gt;&lt;citation.value3&gt;Community for Creative Non-Violence&lt;/citation.value3&gt;&lt;citation.key4&gt;CaseName.FirstParty._Pattern&lt;/citation.key4&gt;&lt;citation.value4&gt;Party.Party&lt;/citation.value4&gt;&lt;citation.key5&gt;CaseName.SecondParty&lt;/citation.key5&gt;&lt;citation.value5&gt;Reid &lt;/citation.value5&gt;&lt;citation.key6&gt;CaseName.SecondParty.Party&lt;/citation.key6&gt;&lt;citation.value6&gt;Reid&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89) &lt;/citation.value10&gt;&lt;citation.key11&gt;CourtParenthetical.Date&lt;/citation.key11&gt;&lt;citation.value11&gt;1989 &lt;/citation.value11&gt;&lt;citation.key12&gt;CourtParenthetical.Date.Year&lt;/citation.key12&gt;&lt;citation.value12&gt;1989 &lt;/citation.value12&gt;&lt;citation.key13&gt;CourtParenthetical.Date.Year.Year&lt;/citation.key13&gt;&lt;citation.value13&gt;1989&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Cmty. for Creative Non-Violence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490 U.S. 730 &lt;/citation.value30&gt;&lt;citation.key31&gt;Reporter.FirstPage&lt;/citation.key31&gt;&lt;citation.value31&gt;730&lt;/citation.value31&gt;&lt;citation.key32&gt;Reporter.Name&lt;/citation.key32&gt;&lt;citation.value32&gt;U.S.&lt;/citation.value32&gt;&lt;citation.key33&gt;Reporter.Volume&lt;/citation.key33&gt;&lt;citation.value33&gt;490&lt;/citation.value33&gt;&lt;citation.key34&gt;Reporter.[&lt;/citation.key34&gt;&lt;citation.value34&gt;[&lt;/citation.value34&gt;&lt;citation.key35&gt;Reporter.]&lt;/citation.key35&gt;&lt;citation.value35&gt;]&lt;/citation.value35&gt;&lt;citation.key36&gt;Reporter._Pattern&lt;/citation.key36&gt;&lt;citation.value36&gt;ShortReporter.ShortReporter&lt;/citation.value36&gt;&lt;citation.key37&gt;Reporter.page&lt;/citation.key37&gt;&lt;citation.value37&gt;page&lt;/citation.value37&gt;&lt;citation.key38&gt;RequiredComma&lt;/citation.key38&gt;&lt;citation.value38&gt;, &lt;/citation.value38&gt;&lt;citation.key39&gt;RequiredComma.Comma&lt;/citation.key39&gt;&lt;citation.value39&gt;,&lt;/citation.value39&gt;&lt;citation.key40&gt;RequiredComma._Pattern&lt;/citation.key40&gt;&lt;citation.value40&gt;RequiredComma.RequiredComma&lt;/citation.value40&gt;&lt;citation.key41&gt;SecondParty&lt;/citation.key41&gt;&lt;citation.value41&gt;Reid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3[0]" w:val="&lt;#1&gt;&lt;citation&gt;&lt;citation._original_string&gt;17 U.S.C.S. § 101(2)&lt;/citation._original_string&gt;&lt;citation._current_string&gt;Id. § 101(2)&lt;/citation._current_string&gt;&lt;citation._full_string&gt;17 U.S.C.S. §101(2) (Law. Co-op. 1978)&lt;/citation._full_string&gt;&lt;citation._current_format&gt;Id.USCId&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S. §101(2) &lt;/citation.value3&gt;&lt;citation.key4&gt;USCCodeCitation.USCTitleAndCode&lt;/citation.key4&gt;&lt;citation.value4&gt;17 U.S.C.S. &lt;/citation.value4&gt;&lt;citation.key5&gt;USCCodeCitation.USCTitleAndCode.USCS&lt;/citation.key5&gt;&lt;citation.value5&gt;U.S.C.S.&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2)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2) &lt;/citation.value13&gt;&lt;citation.key14&gt;USCCodeCitation.__SectionOrSections.SectionNumberList.SectionNumberScalarOrRange&lt;/citation.key14&gt;&lt;citation.value14&gt;101(2) &lt;/citation.value14&gt;&lt;citation.key15&gt;USCCodeCitation.__SectionOrSections.SectionNumberList.SectionNumberScalarOrRange.SectionNumber&lt;/citation.key15&gt;&lt;citation.value15&gt;101(2)&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Law. Co-op. 1978)&lt;/citation.value19&gt;&lt;citation.key20&gt;__AfterStatutoryCite.StatutoryCodeEditionCite&lt;/citation.key20&gt;&lt;citation.value20&gt;(1978)&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1978&lt;/citation.value23&gt;&lt;citation.key24&gt;__AfterStatutoryCite.StatutoryCodeEditionCite.StatutoryCodeEdition.Publisher&lt;/citation.key24&gt;&lt;citation.value24&gt;Law. Co-op.&lt;/citation.value24&gt;&lt;citation.key25&gt;__AfterStatutoryCite.StatutoryCodeEditionCite.StatutoryCodeEdition.Year&lt;/citation.key25&gt;&lt;citation.value25&gt;1978&lt;/citation.value25&gt;&lt;citation.key26&gt;__AfterStatutoryCite.StatutoryCodeEditionCite.StatutoryCodeEdition.Year.Year&lt;/citation.key26&gt;&lt;citation.value26&gt;1978&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30[0]" w:val="&lt;#1&gt;&lt;citation&gt;&lt;citation._original_string&gt;Discussion of Damages. TMTV, Corp. v. Mass Prods., 645 F.3d 464, 2011 U.S. App. LEXIS 11979 (2011)&lt;/citation._original_string&gt;&lt;citation._current_string&gt;Discussion of Damages. TMTV, Corp. v. Mass Prods., 645 F.3d 464, 2011 U.S. App. LEXIS 11979 (2011)&lt;/citation._current_string&gt;&lt;citation._full_string&gt;Discussion of Damages. TMTV, Corp. v. Mass Prods., 645 F.3d 464, , 2011 U.S. App. LEXIS 11979 (2011)&lt;/citation._full_string&gt;&lt;citation._current_format&gt;Full.CaseCitation&lt;/citation._current_format&gt;&lt;citation.name&gt;&lt;/citation.name&gt;&lt;citation.key0&gt;,&lt;/citation.key0&gt;&lt;citation.value0&gt;,&lt;/citation.value0&gt;&lt;citation.key1&gt;CaseName&lt;/citation.key1&gt;&lt;citation.value1&gt;Discussion of Damages. TMTV, Corp. v. Mass Prods. &lt;/citation.value1&gt;&lt;citation.key2&gt;CaseName.FirstParty&lt;/citation.key2&gt;&lt;citation.value2&gt;Discussion of Damages. TMTV, Corp. &lt;/citation.value2&gt;&lt;citation.key3&gt;CaseName.FirstParty.Party&lt;/citation.key3&gt;&lt;citation.value3&gt;Discussion of Damages. TMTV, Corp.&lt;/citation.value3&gt;&lt;citation.key4&gt;CaseName.FirstParty._Pattern&lt;/citation.key4&gt;&lt;citation.value4&gt;Party.Party&lt;/citation.value4&gt;&lt;citation.key5&gt;CaseName.SecondParty&lt;/citation.key5&gt;&lt;citation.value5&gt;Mass Prods. &lt;/citation.value5&gt;&lt;citation.key6&gt;CaseName.SecondParty.Party&lt;/citation.key6&gt;&lt;citation.value6&gt;Mass Prods.&lt;/citation.value6&gt;&lt;citation.key7&gt;CaseName.SecondParty._Pattern&lt;/citation.key7&gt;&lt;citation.value7&gt;Party.Party&lt;/citation.value7&gt;&lt;citation.key8&gt;CaseName._Pattern&lt;/citation.key8&gt;&lt;citation.value8&gt;CaseName.CaseName&lt;/citation.value8&gt;&lt;citation.key9&gt;CaseName.v&lt;/citation.key9&gt;&lt;citation.value9&gt;v.&lt;/citation.value9&gt;&lt;citation.key10&gt;CourtParenthetical&lt;/citation.key10&gt;&lt;citation.value10&gt; (2011) &lt;/citation.value10&gt;&lt;citation.key11&gt;CourtParenthetical.Date&lt;/citation.key11&gt;&lt;citation.value11&gt;2011 &lt;/citation.value11&gt;&lt;citation.key12&gt;CourtParenthetical.Date.Year&lt;/citation.key12&gt;&lt;citation.value12&gt;2011 &lt;/citation.value12&gt;&lt;citation.key13&gt;CourtParenthetical.Date.Year.Year&lt;/citation.key13&gt;&lt;citation.value13&gt;2011&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Id&lt;/citation.key24&gt;&lt;citation.value24&gt;Id. &lt;/citation.value24&gt;&lt;citation.key25&gt;Id.Id&lt;/citation.key25&gt;&lt;citation.value25&gt;Id.&lt;/citation.value25&gt;&lt;citation.key26&gt;Id._Pattern&lt;/citation.key26&gt;&lt;citation.value26&gt;IdGraph.IdGraph&lt;/citation.value26&gt;&lt;citation.key27&gt;NY L Paren&lt;/citation.key27&gt;&lt;citation.value27&gt;(&lt;/citation.value27&gt;&lt;citation.key28&gt;NY R Paren&lt;/citation.key28&gt;&lt;citation.value28&gt;)&lt;/citation.value28&gt;&lt;citation.key29&gt;Reporter&lt;/citation.key29&gt;&lt;citation.value29&gt;645 F.3d 464 &lt;/citation.value29&gt;&lt;citation.key30&gt;Reporter.FirstPage&lt;/citation.key30&gt;&lt;citation.value30&gt;464&lt;/citation.value30&gt;&lt;citation.key31&gt;Reporter.Name&lt;/citation.key31&gt;&lt;citation.value31&gt;F.3d&lt;/citation.value31&gt;&lt;citation.key32&gt;Reporter.Volume&lt;/citation.key32&gt;&lt;citation.value32&gt;645&lt;/citation.value32&gt;&lt;citation.key33&gt;Reporter.[&lt;/citation.key33&gt;&lt;citation.value33&gt;[&lt;/citation.value33&gt;&lt;citation.key34&gt;Reporter.]&lt;/citation.key34&gt;&lt;citation.value34&gt;]&lt;/citation.value34&gt;&lt;citation.key35&gt;Reporter._Pattern&lt;/citation.key35&gt;&lt;citation.value35&gt;Reporter.Reporter&lt;/citation.value35&gt;&lt;citation.key36&gt;Reporter.page&lt;/citation.key36&gt;&lt;citation.value36&gt;page&lt;/citation.value36&gt;&lt;citation.key37&gt;RequiredComma._Pattern&lt;/citation.key37&gt;&lt;citation.value37&gt;RequiredComma.RequiredComma&lt;/citation.value37&gt;&lt;citation.key38&gt;UnreportedCase&lt;/citation.key38&gt;&lt;citation.value38&gt;, 2011 U.S. App. LEXIS 11979 &lt;/citation.value38&gt;&lt;citation.key39&gt;UnreportedCase.,&lt;/citation.key39&gt;&lt;citation.value39&gt;,&lt;/citation.value39&gt;&lt;citation.key40&gt;UnreportedCase.Database&lt;/citation.key40&gt;&lt;citation.value40&gt;2011 U.S. App. LEXIS 11979 &lt;/citation.value40&gt;&lt;citation.key41&gt;UnreportedCase.Database.DBReference&lt;/citation.key41&gt;&lt;citation.value41&gt;2011 U.S. App. LEXIS 11979 &lt;/citation.value41&gt;&lt;citation.key42&gt;UnreportedCase.Database.DBReference.DBNumber&lt;/citation.key42&gt;&lt;citation.value42&gt;11979&lt;/citation.value42&gt;&lt;citation.key43&gt;UnreportedCase.Database.DBReference.LexisDB&lt;/citation.key43&gt;&lt;citation.value43&gt;U.S. App. LEXIS&lt;/citation.value43&gt;&lt;citation.key44&gt;UnreportedCase.Database.DBReference.Year&lt;/citation.key44&gt;&lt;citation.value44&gt;2011 &lt;/citation.value44&gt;&lt;citation.key45&gt;UnreportedCase.Database.DBReference.Year.Year&lt;/citation.key45&gt;&lt;citation.value45&gt;2011&lt;/citation.value45&gt;&lt;citation.key46&gt;UnreportedCase.Database.DBReference.Year._Pattern&lt;/citation.key46&gt;&lt;citation.value46&gt;Year.Year&lt;/citation.value46&gt;&lt;citation.key47&gt;UnreportedCase.Database.DBReference._Pattern&lt;/citation.key47&gt;&lt;citation.value47&gt;Case_DatabaseReference.Case_DatabaseReference&lt;/citation.value47&gt;&lt;citation.key48&gt;UnreportedCase.Database._Pattern&lt;/citation.key48&gt;&lt;citation.value48&gt;Case_DatabaseList.Case_DatabaseList&lt;/citation.value48&gt;&lt;citation.key49&gt;UnreportedCase._Pattern&lt;/citation.key49&gt;&lt;citation.value49&gt;UnreportedCase.UnreportedCase&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gt;_x000a_"/>
    <w:docVar w:name="CITRUS_BOOKMARK31[0]" w:val="&lt;#1&gt;&lt;citation&gt;&lt;citation._original_string&gt;17 U.S.C. § 101&lt;/citation._original_string&gt;&lt;citation._current_string&gt;17 U.S.C. § 101 (2006)&lt;/citation._current_string&gt;&lt;citation._full_string&gt;17 U.S.C. §101 (2006)&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33[0]" w:val="&lt;#1&gt;&lt;citation&gt;&lt;citation._original_string&gt;Massachusetts v. Morash, 490 U.S. 107, 115 (1989)&lt;/citation._original_string&gt;&lt;citation._current_string&gt;Massachusetts v. Morash, 490 U.S. 107, 115 (1989)&lt;/citation._current_string&gt;&lt;citation._full_string&gt;Massachusetts v. Morash, 490 U.S. 107, 115 (1989)&lt;/citation._full_string&gt;&lt;citation._current_format&gt;Full.CaseCitation&lt;/citation._current_format&gt;&lt;citation.name&gt;&lt;/citation.name&gt;&lt;citation.key0&gt;,&lt;/citation.key0&gt;&lt;citation.value0&gt;,&lt;/citation.value0&gt;&lt;citation.key1&gt;CaseName&lt;/citation.key1&gt;&lt;citation.value1&gt;Massachusetts v. Morash &lt;/citation.value1&gt;&lt;citation.key2&gt;CaseName.FirstParty&lt;/citation.key2&gt;&lt;citation.value2&gt;Massachusetts &lt;/citation.value2&gt;&lt;citation.key3&gt;CaseName.FirstParty.Party&lt;/citation.key3&gt;&lt;citation.value3&gt;Massachusetts&lt;/citation.value3&gt;&lt;citation.key4&gt;CaseName.FirstParty._Pattern&lt;/citation.key4&gt;&lt;citation.value4&gt;Party.Party&lt;/citation.value4&gt;&lt;citation.key5&gt;CaseName.SecondParty&lt;/citation.key5&gt;&lt;citation.value5&gt;Morash &lt;/citation.value5&gt;&lt;citation.key6&gt;CaseName.SecondParty.Party&lt;/citation.key6&gt;&lt;citation.value6&gt;Morash&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89) &lt;/citation.value10&gt;&lt;citation.key11&gt;CourtParenthetical.Date&lt;/citation.key11&gt;&lt;citation.value11&gt;1989 &lt;/citation.value11&gt;&lt;citation.key12&gt;CourtParenthetical.Date.Year&lt;/citation.key12&gt;&lt;citation.value12&gt;1989 &lt;/citation.value12&gt;&lt;citation.key13&gt;CourtParenthetical.Date.Year.Year&lt;/citation.key13&gt;&lt;citation.value13&gt;1989&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Massachusetts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490 U.S. at 115&lt;/citation.value30&gt;&lt;citation.key31&gt;Reporter.FirstPage&lt;/citation.key31&gt;&lt;citation.value31&gt;107&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490&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115&lt;/citation.value40&gt;&lt;citation.key41&gt;Reporter.__PinPages.First&lt;/citation.key41&gt;&lt;citation.value41&gt;115&lt;/citation.value41&gt;&lt;citation.key42&gt;Reporter.__PinPages.First._Pattern&lt;/citation.key42&gt;&lt;citation.value42&gt;FirstPageInRange.FirstPageInRange&lt;/citation.value42&gt;&lt;citation.key43&gt;Reporter.__PinPages.First.__PageNumber&lt;/citation.key43&gt;&lt;citation.value43&gt;115&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Morash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36[0]" w:val="&lt;#1&gt;&lt;citation&gt;&lt;citation._original_string&gt;Schiller &amp; Schmidt v. Nordisco Corp., 969 F.2d 410, 413 (7th Cir. 1992)&lt;/citation._original_string&gt;&lt;citation._current_string&gt;Schiller &amp; Schmidt v. Nordisco Corp., 969 F.2d 410, 413 (7th Cir. 1992)&lt;/citation._current_string&gt;&lt;citation._full_string&gt;Schiller &amp; Schmidt v. Nordisco Corp., 969 F.2d 410, 413 (7th Cir. 1992)&lt;/citation._full_string&gt;&lt;citation._current_format&gt;Full.CaseCitation&lt;/citation._current_format&gt;&lt;citation.name&gt;&lt;/citation.name&gt;&lt;citation.key0&gt;,&lt;/citation.key0&gt;&lt;citation.value0&gt;,&lt;/citation.value0&gt;&lt;citation.key1&gt;CaseName&lt;/citation.key1&gt;&lt;citation.value1&gt;Schiller &amp; Schmidt v. Nordisco Corp. &lt;/citation.value1&gt;&lt;citation.key2&gt;CaseName.FirstParty&lt;/citation.key2&gt;&lt;citation.value2&gt;Schiller &amp; Schmidt &lt;/citation.value2&gt;&lt;citation.key3&gt;CaseName.FirstParty.Party&lt;/citation.key3&gt;&lt;citation.value3&gt;Schiller &amp; Schmidt&lt;/citation.value3&gt;&lt;citation.key4&gt;CaseName.FirstParty._Pattern&lt;/citation.key4&gt;&lt;citation.value4&gt;Party.Party&lt;/citation.value4&gt;&lt;citation.key5&gt;CaseName.SecondParty&lt;/citation.key5&gt;&lt;citation.value5&gt;Nordisco Corp. &lt;/citation.value5&gt;&lt;citation.key6&gt;CaseName.SecondParty.Party&lt;/citation.key6&gt;&lt;citation.value6&gt;Nordisco Corp.&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7th Cir. 1992) &lt;/citation.value10&gt;&lt;citation.key11&gt;CourtParenthetical.CourtName&lt;/citation.key11&gt;&lt;citation.value11&gt;7th Cir. &lt;/citation.value11&gt;&lt;citation.key12&gt;CourtParenthetical.CourtName.CourtName&lt;/citation.key12&gt;&lt;citation.value12&gt;7th Cir.&lt;/citation.value12&gt;&lt;citation.key13&gt;CourtParenthetical.CourtName._Pattern&lt;/citation.key13&gt;&lt;citation.value13&gt;CourtName.CourtName&lt;/citation.value13&gt;&lt;citation.key14&gt;CourtParenthetical.Date&lt;/citation.key14&gt;&lt;citation.value14&gt;1992 &lt;/citation.value14&gt;&lt;citation.key15&gt;CourtParenthetical.Date.Year&lt;/citation.key15&gt;&lt;citation.value15&gt;1992 &lt;/citation.value15&gt;&lt;citation.key16&gt;CourtParenthetical.Date.Year.Year&lt;/citation.key16&gt;&lt;citation.value16&gt;1992&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969 F.2d at 413&lt;/citation.value32&gt;&lt;citation.key33&gt;Reporter.FirstPage&lt;/citation.key33&gt;&lt;citation.value33&gt;410&lt;/citation.value33&gt;&lt;citation.key34&gt;Reporter.Name&lt;/citation.key34&gt;&lt;citation.value34&gt;F.2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969&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413&lt;/citation.value42&gt;&lt;citation.key43&gt;Reporter.__PinPages.First&lt;/citation.key43&gt;&lt;citation.value43&gt;413&lt;/citation.value43&gt;&lt;citation.key44&gt;Reporter.__PinPages.First._Pattern&lt;/citation.key44&gt;&lt;citation.value44&gt;FirstPageInRange.FirstPageInRange&lt;/citation.value44&gt;&lt;citation.key45&gt;Reporter.__PinPages.First.__PageNumber&lt;/citation.key45&gt;&lt;citation.value45&gt;413&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37[0]" w:val="&lt;#1&gt;&lt;citation&gt;&lt;citation._original_string&gt;17 U.S.C.S. § 506 (LexisNexis 2011)&lt;/citation._original_string&gt;&lt;citation._current_string&gt;17 U.S.C.S. § 506 (LexisNexis 2011)&lt;/citation._current_string&gt;&lt;citation._full_string&gt;17 U.S.C.S. §506 (LexisNexis 2011)&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S. §506 &lt;/citation.value3&gt;&lt;citation.key4&gt;USCCodeCitation.USCTitleAndCode&lt;/citation.key4&gt;&lt;citation.value4&gt;17 U.S.C.S. &lt;/citation.value4&gt;&lt;citation.key5&gt;USCCodeCitation.USCTitleAndCode.USCS&lt;/citation.key5&gt;&lt;citation.value5&gt;U.S.C.S.&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506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506 &lt;/citation.value13&gt;&lt;citation.key14&gt;USCCodeCitation.__SectionOrSections.SectionNumberList.SectionNumberScalarOrRange&lt;/citation.key14&gt;&lt;citation.value14&gt;506 &lt;/citation.value14&gt;&lt;citation.key15&gt;USCCodeCitation.__SectionOrSections.SectionNumberList.SectionNumberScalarOrRange.SectionNumber&lt;/citation.key15&gt;&lt;citation.value15&gt;506&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LexisNexis 2011)&lt;/citation.value19&gt;&lt;citation.key20&gt;__AfterStatutoryCite.StatutoryCodeEditionCite&lt;/citation.key20&gt;&lt;citation.value20&gt; (LexisNexis 2011)&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LexisNexis 2011 &lt;/citation.value23&gt;&lt;citation.key24&gt;__AfterStatutoryCite.StatutoryCodeEditionCite.StatutoryCodeEdition.Publisher&lt;/citation.key24&gt;&lt;citation.value24&gt;LexisNexis&lt;/citation.value24&gt;&lt;citation.key25&gt;__AfterStatutoryCite.StatutoryCodeEditionCite.StatutoryCodeEdition.Year&lt;/citation.key25&gt;&lt;citation.value25&gt;2011 &lt;/citation.value25&gt;&lt;citation.key26&gt;__AfterStatutoryCite.StatutoryCodeEditionCite.StatutoryCodeEdition.Year.Year&lt;/citation.key26&gt;&lt;citation.value26&gt;2011&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38[0]" w:val="&lt;#1&gt;&lt;citation&gt;&lt;citation._original_string&gt;Firestone Tire &amp; Rubber Co. v. Bruch, 489 U.S. 101, 103 (1989)&lt;/citation._original_string&gt;&lt;citation._current_string&gt;Firestone Tire &amp; Rubber Co. v. Bruch, 489 U.S. 101, 103 (1989)&lt;/citation._current_string&gt;&lt;citation._full_string&gt;Firestone Tire &amp; Rubber Co. v. Bruch, 489 U.S. 101, 103 (1989)&lt;/citation._full_string&gt;&lt;citation._current_format&gt;Full.CaseCitation&lt;/citation._current_format&gt;&lt;citation.name&gt;&lt;/citation.name&gt;&lt;citation.key0&gt;,&lt;/citation.key0&gt;&lt;citation.value0&gt;,&lt;/citation.value0&gt;&lt;citation.key1&gt;CaseName&lt;/citation.key1&gt;&lt;citation.value1&gt;Firestone Tire &amp; Rubber Co. v. Bruch &lt;/citation.value1&gt;&lt;citation.key2&gt;CaseName.FirstParty&lt;/citation.key2&gt;&lt;citation.value2&gt;Firestone Tire &amp; Rubber Co. &lt;/citation.value2&gt;&lt;citation.key3&gt;CaseName.FirstParty.Party&lt;/citation.key3&gt;&lt;citation.value3&gt;Firestone Tire &amp; Rubber Co.&lt;/citation.value3&gt;&lt;citation.key4&gt;CaseName.FirstParty._Pattern&lt;/citation.key4&gt;&lt;citation.value4&gt;Party.Party&lt;/citation.value4&gt;&lt;citation.key5&gt;CaseName.SecondParty&lt;/citation.key5&gt;&lt;citation.value5&gt;Bruch &lt;/citation.value5&gt;&lt;citation.key6&gt;CaseName.SecondParty.Party&lt;/citation.key6&gt;&lt;citation.value6&gt;Bruch&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89) &lt;/citation.value10&gt;&lt;citation.key11&gt;CourtParenthetical.Date&lt;/citation.key11&gt;&lt;citation.value11&gt;1989 &lt;/citation.value11&gt;&lt;citation.key12&gt;CourtParenthetical.Date.Year&lt;/citation.key12&gt;&lt;citation.value12&gt;1989 &lt;/citation.value12&gt;&lt;citation.key13&gt;CourtParenthetical.Date.Year.Year&lt;/citation.key13&gt;&lt;citation.value13&gt;1989&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Firestone Tire &amp; Rubber Co.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489 U.S. at 103&lt;/citation.value30&gt;&lt;citation.key31&gt;Reporter.FirstPage&lt;/citation.key31&gt;&lt;citation.value31&gt;101&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489&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103&lt;/citation.value40&gt;&lt;citation.key41&gt;Reporter.__PinPages.First&lt;/citation.key41&gt;&lt;citation.value41&gt;103&lt;/citation.value41&gt;&lt;citation.key42&gt;Reporter.__PinPages.First._Pattern&lt;/citation.key42&gt;&lt;citation.value42&gt;FirstPageInRange.FirstPageInRange&lt;/citation.value42&gt;&lt;citation.key43&gt;Reporter.__PinPages.First.__PageNumber&lt;/citation.key43&gt;&lt;citation.value43&gt;103&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Bruch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4[0]" w:val="&lt;#1&gt;&lt;citation&gt;&lt;citation._original_string&gt;17 U.S.C.S. § 101 (Law. Co-op. 1978)&lt;/citation._original_string&gt;&lt;citation._current_string&gt;17 U.S.C.S. § 101&lt;/citation._current_string&gt;&lt;citation._full_string&gt;17 U.S.C.S. §101 (Law. Co-op. 1978)&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S. §101 &lt;/citation.value3&gt;&lt;citation.key4&gt;USCCodeCitation.USCTitleAndCode&lt;/citation.key4&gt;&lt;citation.value4&gt;17 U.S.C.S. &lt;/citation.value4&gt;&lt;citation.key5&gt;USCCodeCitation.USCTitleAndCode.USCS&lt;/citation.key5&gt;&lt;citation.value5&gt;U.S.C.S.&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Law. Co-op. 1978)&lt;/citation.value19&gt;&lt;citation.key20&gt;__AfterStatutoryCite.StatutoryCodeEditionCite&lt;/citation.key20&gt;&lt;citation.value20&gt; (Law. Co-op. 1978)&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Law. Co-op. 1978 &lt;/citation.value23&gt;&lt;citation.key24&gt;__AfterStatutoryCite.StatutoryCodeEditionCite.StatutoryCodeEdition.Publisher&lt;/citation.key24&gt;&lt;citation.value24&gt;Law. Co-op.&lt;/citation.value24&gt;&lt;citation.key25&gt;__AfterStatutoryCite.StatutoryCodeEditionCite.StatutoryCodeEdition.Year&lt;/citation.key25&gt;&lt;citation.value25&gt;1978 &lt;/citation.value25&gt;&lt;citation.key26&gt;__AfterStatutoryCite.StatutoryCodeEditionCite.StatutoryCodeEdition.Year.Year&lt;/citation.key26&gt;&lt;citation.value26&gt;1978&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5[0]" w:val="&lt;#1&gt;&lt;citation&gt;&lt;citation._original_string&gt;17 U.S.C.S. § 101&lt;/citation._original_string&gt;&lt;citation._current_string&gt;17 U.S.C.S. § 101&lt;/citation._current_string&gt;&lt;citation._full_string&gt;17 U.S.C.S. §101 (Law. Co-op. 1978)&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S. §101 &lt;/citation.value3&gt;&lt;citation.key4&gt;USCCodeCitation.USCTitleAndCode&lt;/citation.key4&gt;&lt;citation.value4&gt;17 U.S.C.S. &lt;/citation.value4&gt;&lt;citation.key5&gt;USCCodeCitation.USCTitleAndCode.USCS&lt;/citation.key5&gt;&lt;citation.value5&gt;U.S.C.S.&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Law. Co-op. 1978)&lt;/citation.value19&gt;&lt;citation.key20&gt;__AfterStatutoryCite.StatutoryCodeEditionCite&lt;/citation.key20&gt;&lt;citation.value20&gt;(1978)&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1978&lt;/citation.value23&gt;&lt;citation.key24&gt;__AfterStatutoryCite.StatutoryCodeEditionCite.StatutoryCodeEdition.Publisher&lt;/citation.key24&gt;&lt;citation.value24&gt;Law. Co-op.&lt;/citation.value24&gt;&lt;citation.key25&gt;__AfterStatutoryCite.StatutoryCodeEditionCite.StatutoryCodeEdition.Year&lt;/citation.key25&gt;&lt;citation.value25&gt;1978&lt;/citation.value25&gt;&lt;citation.key26&gt;__AfterStatutoryCite.StatutoryCodeEditionCite.StatutoryCodeEdition.Year.Year&lt;/citation.key26&gt;&lt;citation.value26&gt;1978&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59[0]" w:val="&lt;#1&gt;&lt;citation&gt;&lt;citation._original_string&gt;Schiller &amp; Schmidt v. Nordisco Corp., 969 F.2d 410, 413 (7th Cir. 1992)&lt;/citation._original_string&gt;&lt;citation._current_string&gt;Schiller &amp; Schmidt v. Nordisco Corp., 969 F.2d 410, 413 (7th Cir. 1992)&lt;/citation._current_string&gt;&lt;citation._full_string&gt;Schiller &amp; Schmidt v. Nordisco Corp., 969 F.2d 410, 413 (7th Cir. 1992)&lt;/citation._full_string&gt;&lt;citation._current_format&gt;Full.CaseCitation&lt;/citation._current_format&gt;&lt;citation.name&gt;&lt;/citation.name&gt;&lt;citation.key0&gt;,&lt;/citation.key0&gt;&lt;citation.value0&gt;,&lt;/citation.value0&gt;&lt;citation.key1&gt;CaseName&lt;/citation.key1&gt;&lt;citation.value1&gt;Schiller &amp; Schmidt v. Nordisco Corp. &lt;/citation.value1&gt;&lt;citation.key2&gt;CaseName.FirstParty&lt;/citation.key2&gt;&lt;citation.value2&gt;Schiller &amp; Schmidt &lt;/citation.value2&gt;&lt;citation.key3&gt;CaseName.FirstParty.Party&lt;/citation.key3&gt;&lt;citation.value3&gt;Schiller &amp; Schmidt&lt;/citation.value3&gt;&lt;citation.key4&gt;CaseName.FirstParty._Pattern&lt;/citation.key4&gt;&lt;citation.value4&gt;Party.Party&lt;/citation.value4&gt;&lt;citation.key5&gt;CaseName.SecondParty&lt;/citation.key5&gt;&lt;citation.value5&gt;Nordisco Corp. &lt;/citation.value5&gt;&lt;citation.key6&gt;CaseName.SecondParty.Party&lt;/citation.key6&gt;&lt;citation.value6&gt;Nordisco Corp.&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7th Cir. 1992) &lt;/citation.value10&gt;&lt;citation.key11&gt;CourtParenthetical.CourtName&lt;/citation.key11&gt;&lt;citation.value11&gt;7th Cir. &lt;/citation.value11&gt;&lt;citation.key12&gt;CourtParenthetical.CourtName.CourtName&lt;/citation.key12&gt;&lt;citation.value12&gt;7th Cir.&lt;/citation.value12&gt;&lt;citation.key13&gt;CourtParenthetical.CourtName._Pattern&lt;/citation.key13&gt;&lt;citation.value13&gt;CourtName.CourtName&lt;/citation.value13&gt;&lt;citation.key14&gt;CourtParenthetical.Date&lt;/citation.key14&gt;&lt;citation.value14&gt;1992 &lt;/citation.value14&gt;&lt;citation.key15&gt;CourtParenthetical.Date.Year&lt;/citation.key15&gt;&lt;citation.value15&gt;1992 &lt;/citation.value15&gt;&lt;citation.key16&gt;CourtParenthetical.Date.Year.Year&lt;/citation.key16&gt;&lt;citation.value16&gt;1992&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969 F.2d at 413&lt;/citation.value32&gt;&lt;citation.key33&gt;Reporter.FirstPage&lt;/citation.key33&gt;&lt;citation.value33&gt;410&lt;/citation.value33&gt;&lt;citation.key34&gt;Reporter.Name&lt;/citation.key34&gt;&lt;citation.value34&gt;F.2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969&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413&lt;/citation.value42&gt;&lt;citation.key43&gt;Reporter.__PinPages.First&lt;/citation.key43&gt;&lt;citation.value43&gt;413&lt;/citation.value43&gt;&lt;citation.key44&gt;Reporter.__PinPages.First._Pattern&lt;/citation.key44&gt;&lt;citation.value44&gt;FirstPageInRange.FirstPageInRange&lt;/citation.value44&gt;&lt;citation.key45&gt;Reporter.__PinPages.First.__PageNumber&lt;/citation.key45&gt;&lt;citation.value45&gt;413&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6[0]" w:val="&lt;#1&gt;&lt;citation&gt;&lt;citation._original_string&gt;shall be considered made for hire.  Because OGS and Lime orally agreed that the work was made for hire from the first time they met and solidified in writing a few days later, \0DIn a past decision, the Second Circuit found that work for hire agreement can be put into writing after the work has begun if “the writing confirms a prior agreement, either explicit or implicit made before the creation of the work.”  Playboy Enters. v. Dumas, 53 F.3d 549&lt;/citation._original_string&gt;&lt;citation._current_string&gt;Playboy Enters. v. Dumas, 53 F.3d 549 (2d Cir. 1995)&lt;/citation._current_string&gt;&lt;citation._full_string&gt;Playboy Enters. v. Dumas, 53 F.3d 549 (2d Cir. 1995)&lt;/citation._full_string&gt;&lt;citation._current_format&gt;Full.CaseCitation&lt;/citation._current_format&gt;&lt;citation.name&gt;&lt;/citation.name&gt;&lt;citation.key0&gt;,&lt;/citation.key0&gt;&lt;citation.value0&gt;,&lt;/citation.value0&gt;&lt;citation.key1&gt;CaseName.FirstParty&lt;/citation.key1&gt;&lt;citation.value1&gt;Playboy Enters.&lt;/citation.value1&gt;&lt;citation.key2&gt;CaseName.FirstParty.Party&lt;/citation.key2&gt;&lt;citation.value2&gt;Playboy Enters.&lt;/citation.value2&gt;&lt;citation.key3&gt;CaseName.FirstParty._Pattern&lt;/citation.key3&gt;&lt;citation.value3&gt;Party.Party&lt;/citation.value3&gt;&lt;citation.key4&gt;CaseName.SecondParty&lt;/citation.key4&gt;&lt;citation.value4&gt;Dumas&lt;/citation.value4&gt;&lt;citation.key5&gt;CaseName.SecondParty.Party&lt;/citation.key5&gt;&lt;citation.value5&gt;Dumas&lt;/citation.value5&gt;&lt;citation.key6&gt;CaseName.SecondParty._Pattern&lt;/citation.key6&gt;&lt;citation.value6&gt;Party.Party&lt;/citation.value6&gt;&lt;citation.key7&gt;CaseName._Pattern&lt;/citation.key7&gt;&lt;citation.value7&gt;&lt;/citation.value7&gt;&lt;citation.key8&gt;CourtParenthetical&lt;/citation.key8&gt;&lt;citation.value8&gt; (2d Cir. 1995) &lt;/citation.value8&gt;&lt;citation.key9&gt;CourtParenthetical.CourtName&lt;/citation.key9&gt;&lt;citation.value9&gt;2d Cir. N.Y.&lt;/citation.value9&gt;&lt;citation.key10&gt;CourtParenthetical.CourtName.CourtName&lt;/citation.key10&gt;&lt;citation.value10&gt;2d Cir.&lt;/citation.value10&gt;&lt;citation.key11&gt;CourtParenthetical.CourtName._Pattern&lt;/citation.key11&gt;&lt;citation.value11&gt;CourtName.CourtName&lt;/citation.value11&gt;&lt;citation.key12&gt;CourtParenthetical.Date.Year&lt;/citation.key12&gt;&lt;citation.value12&gt;1995&lt;/citation.value12&gt;&lt;citation.key13&gt;CourtParenthetical.Date.Year.Year&lt;/citation.key13&gt;&lt;citation.value13&gt;1995&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_Pattern&lt;/citation.key16&gt;&lt;citation.value16&gt;CourtParenthetical.CourtParenthetical&lt;/citation.value16&gt;&lt;citation.key17&gt;HAS_AUTHORITATIVE_DATA&lt;/citation.key17&gt;&lt;citation.value17&gt;YES&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3 F.3d 549 &lt;/citation.value23&gt;&lt;citation.key24&gt;Reporter.FirstPage&lt;/citation.key24&gt;&lt;citation.value24&gt;549&lt;/citation.value24&gt;&lt;citation.key25&gt;Reporter.Name&lt;/citation.key25&gt;&lt;citation.value25&gt;F.3d&lt;/citation.value25&gt;&lt;citation.key26&gt;Reporter.Volume&lt;/citation.key26&gt;&lt;citation.value26&gt;53&lt;/citation.value26&gt;&lt;citation.key27&gt;Reporter.[&lt;/citation.key27&gt;&lt;citation.value27&gt;[&lt;/citation.value27&gt;&lt;citation.key28&gt;Reporter.]&lt;/citation.key28&gt;&lt;citation.value28&gt;]&lt;/citation.value28&gt;&lt;citation.key29&gt;Reporter._Pattern&lt;/citation.key29&gt;&lt;citation.value29&gt;Reporter.Reporter&lt;/citation.value29&gt;&lt;citation.key30&gt;Reporter.page&lt;/citation.key30&gt;&lt;citation.value30&gt;page&lt;/citation.value30&gt;&lt;citation.key31&gt;RequiredComma&lt;/citation.key31&gt;&lt;citation.value31&gt;, &lt;/citation.value31&gt;&lt;citation.key32&gt;RequiredComma._Pattern&lt;/citation.key32&gt;&lt;citation.value32&gt;RequiredComma.RequiredComma&lt;/citation.value32&gt;&lt;citation.key33&gt;supra&lt;/citation.key33&gt;&lt;citation.value33&gt;&lt;/citation.value33&gt;&lt;citation.key34&gt;supra.,&lt;/citation.key34&gt;&lt;citation.value34&gt;, &lt;/citation.value34&gt;&lt;citation.key35&gt;supra._Pattern&lt;/citation.key35&gt;&lt;citation.value35&gt;ShortCaseSupra.ShortCaseSupra&lt;/citation.value35&gt;&lt;citation.key36&gt;supra.supra&lt;/citation.key36&gt;&lt;citation.value36&gt;supra&lt;/citation.value36&gt;&lt;/citation&gt;_x000a_"/>
    <w:docVar w:name="CITRUS_BOOKMARK61[0]" w:val="&lt;#1&gt;&lt;citation&gt;&lt;citation._original_string&gt;Schiller &amp; Schmidt v. Nordisco Corp., 969 F.2d 410, 413 (7th Cir. 1992)&lt;/citation._original_string&gt;&lt;citation._current_string&gt;Schiller &amp; Schmidt, 969 F.2d at 413&lt;/citation._current_string&gt;&lt;citation._full_string&gt;Schiller &amp; Schmidt v. Nordisco Corp., 969 F.2d 410, 413 (7th Cir. 1992)&lt;/citation._full_string&gt;&lt;citation._current_format&gt;Short.ShortCaseCite&lt;/citation._current_format&gt;&lt;citation.name&gt;&lt;/citation.name&gt;&lt;citation.key0&gt;,&lt;/citation.key0&gt;&lt;citation.value0&gt;,&lt;/citation.value0&gt;&lt;citation.key1&gt;CaseName&lt;/citation.key1&gt;&lt;citation.value1&gt;Schiller &amp; Schmidt v. Nordisco Corp. &lt;/citation.value1&gt;&lt;citation.key2&gt;CaseName.FirstParty&lt;/citation.key2&gt;&lt;citation.value2&gt;Schiller &amp; Schmidt &lt;/citation.value2&gt;&lt;citation.key3&gt;CaseName.FirstParty.Party&lt;/citation.key3&gt;&lt;citation.value3&gt;Schiller &amp; Schmidt&lt;/citation.value3&gt;&lt;citation.key4&gt;CaseName.FirstParty._Pattern&lt;/citation.key4&gt;&lt;citation.value4&gt;Party.Party&lt;/citation.value4&gt;&lt;citation.key5&gt;CaseName.SecondParty&lt;/citation.key5&gt;&lt;citation.value5&gt;Nordisco Corp. &lt;/citation.value5&gt;&lt;citation.key6&gt;CaseName.SecondParty.Party&lt;/citation.key6&gt;&lt;citation.value6&gt;Nordisco Corp.&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7th Cir. 1992) &lt;/citation.value10&gt;&lt;citation.key11&gt;CourtParenthetical.CourtName&lt;/citation.key11&gt;&lt;citation.value11&gt;7th Cir. &lt;/citation.value11&gt;&lt;citation.key12&gt;CourtParenthetical.CourtName.CourtName&lt;/citation.key12&gt;&lt;citation.value12&gt;7th Cir.&lt;/citation.value12&gt;&lt;citation.key13&gt;CourtParenthetical.CourtName._Pattern&lt;/citation.key13&gt;&lt;citation.value13&gt;CourtName.CourtName&lt;/citation.value13&gt;&lt;citation.key14&gt;CourtParenthetical.Date&lt;/citation.key14&gt;&lt;citation.value14&gt;1992 &lt;/citation.value14&gt;&lt;citation.key15&gt;CourtParenthetical.Date.Year&lt;/citation.key15&gt;&lt;citation.value15&gt;1992 &lt;/citation.value15&gt;&lt;citation.key16&gt;CourtParenthetical.Date.Year.Year&lt;/citation.key16&gt;&lt;citation.value16&gt;1992&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969 F.2d at 413&lt;/citation.value32&gt;&lt;citation.key33&gt;Reporter.FirstPage&lt;/citation.key33&gt;&lt;citation.value33&gt;410&lt;/citation.value33&gt;&lt;citation.key34&gt;Reporter.Name&lt;/citation.key34&gt;&lt;citation.value34&gt;F.2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969&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413&lt;/citation.value42&gt;&lt;citation.key43&gt;Reporter.__PinPages.First&lt;/citation.key43&gt;&lt;citation.value43&gt;413&lt;/citation.value43&gt;&lt;citation.key44&gt;Reporter.__PinPages.First._Pattern&lt;/citation.key44&gt;&lt;citation.value44&gt;FirstPageInRange.FirstPageInRange&lt;/citation.value44&gt;&lt;citation.key45&gt;Reporter.__PinPages.First.__PageNumber&lt;/citation.key45&gt;&lt;citation.value45&gt;413&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63[0]" w:val="&lt;#1&gt;&lt;citation&gt;&lt;citation._original_string&gt;Schiller &amp; Schmidt v. Nordisco Corp., 969 F.2d 410, 413 (7th Cir. 1992)&lt;/citation._original_string&gt;&lt;citation._current_string&gt;Schiller &amp; Schmidt v. Nordisco Corp., 969 F.2d 410, 413 (7th Cir. 1992)&lt;/citation._current_string&gt;&lt;citation._full_string&gt;Schiller &amp; Schmidt v. Nordisco Corp., 969 F.2d 410, 413 (7th Cir. 1992)&lt;/citation._full_string&gt;&lt;citation._current_format&gt;Full.CaseCitation&lt;/citation._current_format&gt;&lt;citation.name&gt;&lt;/citation.name&gt;&lt;citation.key0&gt;,&lt;/citation.key0&gt;&lt;citation.value0&gt;,&lt;/citation.value0&gt;&lt;citation.key1&gt;CaseName&lt;/citation.key1&gt;&lt;citation.value1&gt;Schiller &amp; Schmidt v. Nordisco Corp. &lt;/citation.value1&gt;&lt;citation.key2&gt;CaseName.FirstParty&lt;/citation.key2&gt;&lt;citation.value2&gt;Schiller &amp; Schmidt &lt;/citation.value2&gt;&lt;citation.key3&gt;CaseName.FirstParty.Party&lt;/citation.key3&gt;&lt;citation.value3&gt;Schiller &amp; Schmidt&lt;/citation.value3&gt;&lt;citation.key4&gt;CaseName.FirstParty._Pattern&lt;/citation.key4&gt;&lt;citation.value4&gt;Party.Party&lt;/citation.value4&gt;&lt;citation.key5&gt;CaseName.SecondParty&lt;/citation.key5&gt;&lt;citation.value5&gt;Nordisco Corp. &lt;/citation.value5&gt;&lt;citation.key6&gt;CaseName.SecondParty.Party&lt;/citation.key6&gt;&lt;citation.value6&gt;Nordisco Corp.&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7th Cir. 1992) &lt;/citation.value10&gt;&lt;citation.key11&gt;CourtParenthetical.CourtName&lt;/citation.key11&gt;&lt;citation.value11&gt;7th Cir. &lt;/citation.value11&gt;&lt;citation.key12&gt;CourtParenthetical.CourtName.CourtName&lt;/citation.key12&gt;&lt;citation.value12&gt;7th Cir.&lt;/citation.value12&gt;&lt;citation.key13&gt;CourtParenthetical.CourtName._Pattern&lt;/citation.key13&gt;&lt;citation.value13&gt;CourtName.CourtName&lt;/citation.value13&gt;&lt;citation.key14&gt;CourtParenthetical.Date&lt;/citation.key14&gt;&lt;citation.value14&gt;1992 &lt;/citation.value14&gt;&lt;citation.key15&gt;CourtParenthetical.Date.Year&lt;/citation.key15&gt;&lt;citation.value15&gt;1992 &lt;/citation.value15&gt;&lt;citation.key16&gt;CourtParenthetical.Date.Year.Year&lt;/citation.key16&gt;&lt;citation.value16&gt;1992&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969 F.2d at 413&lt;/citation.value32&gt;&lt;citation.key33&gt;Reporter.FirstPage&lt;/citation.key33&gt;&lt;citation.value33&gt;410&lt;/citation.value33&gt;&lt;citation.key34&gt;Reporter.Name&lt;/citation.key34&gt;&lt;citation.value34&gt;F.2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969&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413&lt;/citation.value42&gt;&lt;citation.key43&gt;Reporter.__PinPages.First&lt;/citation.key43&gt;&lt;citation.value43&gt;413&lt;/citation.value43&gt;&lt;citation.key44&gt;Reporter.__PinPages.First._Pattern&lt;/citation.key44&gt;&lt;citation.value44&gt;FirstPageInRange.FirstPageInRange&lt;/citation.value44&gt;&lt;citation.key45&gt;Reporter.__PinPages.First.__PageNumber&lt;/citation.key45&gt;&lt;citation.value45&gt;413&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7[0]" w:val="&lt;#1&gt;&lt;citation&gt;&lt;citation._original_string&gt;Playboy Enters. v. Dumas, 53 F.3d 549&lt;/citation._original_string&gt;&lt;citation._current_string&gt;Playboy Enters. v. Dumas, 53 F.3d 549 (2d Cir. 1995)&lt;/citation._current_string&gt;&lt;citation._full_string&gt;Playboy Enters. v. Dumas, 53 F.3d 549 (2d Cir. 1995)&lt;/citation._full_string&gt;&lt;citation._current_format&gt;Full.CaseCitation&lt;/citation._current_format&gt;&lt;citation.name&gt;&lt;/citation.name&gt;&lt;citation.key0&gt;,&lt;/citation.key0&gt;&lt;citation.value0&gt;,&lt;/citation.value0&gt;&lt;citation.key1&gt;CaseName.FirstParty&lt;/citation.key1&gt;&lt;citation.value1&gt;Playboy Enters.&lt;/citation.value1&gt;&lt;citation.key2&gt;CaseName.FirstParty.Party&lt;/citation.key2&gt;&lt;citation.value2&gt;Playboy Enters.&lt;/citation.value2&gt;&lt;citation.key3&gt;CaseName.FirstParty._Pattern&lt;/citation.key3&gt;&lt;citation.value3&gt;Party.Party&lt;/citation.value3&gt;&lt;citation.key4&gt;CaseName.SecondParty&lt;/citation.key4&gt;&lt;citation.value4&gt;Dumas&lt;/citation.value4&gt;&lt;citation.key5&gt;CaseName.SecondParty.Party&lt;/citation.key5&gt;&lt;citation.value5&gt;Dumas&lt;/citation.value5&gt;&lt;citation.key6&gt;CaseName.SecondParty._Pattern&lt;/citation.key6&gt;&lt;citation.value6&gt;Party.Party&lt;/citation.value6&gt;&lt;citation.key7&gt;CaseName._Pattern&lt;/citation.key7&gt;&lt;citation.value7&gt;&lt;/citation.value7&gt;&lt;citation.key8&gt;CourtParenthetical&lt;/citation.key8&gt;&lt;citation.value8&gt; (2d Cir. 1995) &lt;/citation.value8&gt;&lt;citation.key9&gt;CourtParenthetical.CourtName&lt;/citation.key9&gt;&lt;citation.value9&gt;2d Cir. N.Y.&lt;/citation.value9&gt;&lt;citation.key10&gt;CourtParenthetical.CourtName.CourtName&lt;/citation.key10&gt;&lt;citation.value10&gt;2d Cir.&lt;/citation.value10&gt;&lt;citation.key11&gt;CourtParenthetical.CourtName._Pattern&lt;/citation.key11&gt;&lt;citation.value11&gt;CourtName.CourtName&lt;/citation.value11&gt;&lt;citation.key12&gt;CourtParenthetical.Date.Year&lt;/citation.key12&gt;&lt;citation.value12&gt;1995&lt;/citation.value12&gt;&lt;citation.key13&gt;CourtParenthetical.Date.Year.Year&lt;/citation.key13&gt;&lt;citation.value13&gt;1995&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_Pattern&lt;/citation.key16&gt;&lt;citation.value16&gt;CourtParenthetical.CourtParenthetical&lt;/citation.value16&gt;&lt;citation.key17&gt;HAS_AUTHORITATIVE_DATA&lt;/citation.key17&gt;&lt;citation.value17&gt;YES&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3 F.3d 549 &lt;/citation.value23&gt;&lt;citation.key24&gt;Reporter.FirstPage&lt;/citation.key24&gt;&lt;citation.value24&gt;549&lt;/citation.value24&gt;&lt;citation.key25&gt;Reporter.Name&lt;/citation.key25&gt;&lt;citation.value25&gt;F.3d&lt;/citation.value25&gt;&lt;citation.key26&gt;Reporter.Volume&lt;/citation.key26&gt;&lt;citation.value26&gt;53&lt;/citation.value26&gt;&lt;citation.key27&gt;Reporter.[&lt;/citation.key27&gt;&lt;citation.value27&gt;[&lt;/citation.value27&gt;&lt;citation.key28&gt;Reporter.]&lt;/citation.key28&gt;&lt;citation.value28&gt;]&lt;/citation.value28&gt;&lt;citation.key29&gt;Reporter._Pattern&lt;/citation.key29&gt;&lt;citation.value29&gt;Reporter.Reporter&lt;/citation.value29&gt;&lt;citation.key30&gt;Reporter.page&lt;/citation.key30&gt;&lt;citation.value30&gt;page&lt;/citation.value30&gt;&lt;citation.key31&gt;RequiredComma&lt;/citation.key31&gt;&lt;citation.value31&gt;, &lt;/citation.value31&gt;&lt;citation.key32&gt;RequiredComma._Pattern&lt;/citation.key32&gt;&lt;citation.value32&gt;RequiredComma.RequiredComma&lt;/citation.value32&gt;&lt;citation.key33&gt;supra&lt;/citation.key33&gt;&lt;citation.value33&gt;&lt;/citation.value33&gt;&lt;citation.key34&gt;supra.,&lt;/citation.key34&gt;&lt;citation.value34&gt;, &lt;/citation.value34&gt;&lt;citation.key35&gt;supra._Pattern&lt;/citation.key35&gt;&lt;citation.value35&gt;ShortCaseSupra.ShortCaseSupra&lt;/citation.value35&gt;&lt;citation.key36&gt;supra.supra&lt;/citation.key36&gt;&lt;citation.value36&gt;supra&lt;/citation.value36&gt;&lt;/citation&gt;_x000a_"/>
    <w:docVar w:name="CITRUS_BOOKMARK70[0]" w:val="&lt;#1&gt;&lt;citation&gt;&lt;citation._original_string&gt;May v. Morganelli-Heumann &amp; Assocs., 618 F.2d 1363, 1980 U.S. App. LEXIS 17536, at *207 (1980)&lt;/citation._original_string&gt;&lt;citation._current_string&gt;May v. Morganelli-Heumann &amp; Assocs., 618 F.2d 1363, 1980 U.S. App. LEXIS 17536, at *207 (1980)&lt;/citation._current_string&gt;&lt;citation._full_string&gt;May v. Morganelli-Heumann &amp; Assocs., 618 F.2d 1363, , 1980 U.S. App. LEXIS 17536, at *207 (1980)&lt;/citation._full_string&gt;&lt;citation._current_format&gt;Full.CaseCitation&lt;/citation._current_format&gt;&lt;citation.name&gt;&lt;/citation.name&gt;&lt;citation.key0&gt;,&lt;/citation.key0&gt;&lt;citation.value0&gt;,&lt;/citation.value0&gt;&lt;citation.key1&gt;CaseName&lt;/citation.key1&gt;&lt;citation.value1&gt;May v. Morganelli-Heumann &amp; Assocs. &lt;/citation.value1&gt;&lt;citation.key2&gt;CaseName.FirstParty&lt;/citation.key2&gt;&lt;citation.value2&gt;May &lt;/citation.value2&gt;&lt;citation.key3&gt;CaseName.FirstParty.Party&lt;/citation.key3&gt;&lt;citation.value3&gt;May&lt;/citation.value3&gt;&lt;citation.key4&gt;CaseName.FirstParty._Pattern&lt;/citation.key4&gt;&lt;citation.value4&gt;Party.Party&lt;/citation.value4&gt;&lt;citation.key5&gt;CaseName.SecondParty&lt;/citation.key5&gt;&lt;citation.value5&gt;Morganelli-Heumann &amp; Assocs. &lt;/citation.value5&gt;&lt;citation.key6&gt;CaseName.SecondParty.Party&lt;/citation.key6&gt;&lt;citation.value6&gt;Morganelli-Heumann &amp; Assocs.&lt;/citation.value6&gt;&lt;citation.key7&gt;CaseName.SecondParty._Pattern&lt;/citation.key7&gt;&lt;citation.value7&gt;Party.Party&lt;/citation.value7&gt;&lt;citation.key8&gt;CaseName._Pattern&lt;/citation.key8&gt;&lt;citation.value8&gt;CaseName.CaseName&lt;/citation.value8&gt;&lt;citation.key9&gt;CaseName.v&lt;/citation.key9&gt;&lt;citation.value9&gt;v.&lt;/citation.value9&gt;&lt;citation.key10&gt;CourtParenthetical&lt;/citation.key10&gt;&lt;citation.value10&gt; (1980) &lt;/citation.value10&gt;&lt;citation.key11&gt;CourtParenthetical.Date&lt;/citation.key11&gt;&lt;citation.value11&gt;1980 &lt;/citation.value11&gt;&lt;citation.key12&gt;CourtParenthetical.Date.Year&lt;/citation.key12&gt;&lt;citation.value12&gt;1980 &lt;/citation.value12&gt;&lt;citation.key13&gt;CourtParenthetical.Date.Year.Year&lt;/citation.key13&gt;&lt;citation.value13&gt;1980&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Id&lt;/citation.key24&gt;&lt;citation.value24&gt;Id. &lt;/citation.value24&gt;&lt;citation.key25&gt;Id.Id&lt;/citation.key25&gt;&lt;citation.value25&gt;Id.&lt;/citation.value25&gt;&lt;citation.key26&gt;Id._Pattern&lt;/citation.key26&gt;&lt;citation.value26&gt;IdGraph.IdGraph&lt;/citation.value26&gt;&lt;citation.key27&gt;NY L Paren&lt;/citation.key27&gt;&lt;citation.value27&gt;(&lt;/citation.value27&gt;&lt;citation.key28&gt;NY R Paren&lt;/citation.key28&gt;&lt;citation.value28&gt;)&lt;/citation.value28&gt;&lt;citation.key29&gt;Reporter&lt;/citation.key29&gt;&lt;citation.value29&gt;618 F.2d 1363 &lt;/citation.value29&gt;&lt;citation.key30&gt;Reporter.FirstPage&lt;/citation.key30&gt;&lt;citation.value30&gt;1363&lt;/citation.value30&gt;&lt;citation.key31&gt;Reporter.Name&lt;/citation.key31&gt;&lt;citation.value31&gt;F.2d&lt;/citation.value31&gt;&lt;citation.key32&gt;Reporter.Volume&lt;/citation.key32&gt;&lt;citation.value32&gt;618&lt;/citation.value32&gt;&lt;citation.key33&gt;Reporter.[&lt;/citation.key33&gt;&lt;citation.value33&gt;[&lt;/citation.value33&gt;&lt;citation.key34&gt;Reporter.]&lt;/citation.key34&gt;&lt;citation.value34&gt;]&lt;/citation.value34&gt;&lt;citation.key35&gt;Reporter._Pattern&lt;/citation.key35&gt;&lt;citation.value35&gt;Reporter.Reporter&lt;/citation.value35&gt;&lt;citation.key36&gt;Reporter.page&lt;/citation.key36&gt;&lt;citation.value36&gt;page&lt;/citation.value36&gt;&lt;citation.key37&gt;RequiredComma._Pattern&lt;/citation.key37&gt;&lt;citation.value37&gt;RequiredComma.RequiredComma&lt;/citation.value37&gt;&lt;citation.key38&gt;UnreportedCase&lt;/citation.key38&gt;&lt;citation.value38&gt;, 1980 U.S. App. LEXIS 17536, at *207 &lt;/citation.value38&gt;&lt;citation.key39&gt;UnreportedCase.,&lt;/citation.key39&gt;&lt;citation.value39&gt;,&lt;/citation.value39&gt;&lt;citation.key40&gt;UnreportedCase.Database&lt;/citation.key40&gt;&lt;citation.value40&gt;1980 U.S. App. LEXIS 17536 &lt;/citation.value40&gt;&lt;citation.key41&gt;UnreportedCase.Database.DBReference&lt;/citation.key41&gt;&lt;citation.value41&gt;1980 U.S. App. LEXIS 17536 &lt;/citation.value41&gt;&lt;citation.key42&gt;UnreportedCase.Database.DBReference.DBNumber&lt;/citation.key42&gt;&lt;citation.value42&gt;17536&lt;/citation.value42&gt;&lt;citation.key43&gt;UnreportedCase.Database.DBReference.LexisDB&lt;/citation.key43&gt;&lt;citation.value43&gt;U.S. App. LEXIS&lt;/citation.value43&gt;&lt;citation.key44&gt;UnreportedCase.Database.DBReference.Year&lt;/citation.key44&gt;&lt;citation.value44&gt;1980 &lt;/citation.value44&gt;&lt;citation.key45&gt;UnreportedCase.Database.DBReference.Year.Year&lt;/citation.key45&gt;&lt;citation.value45&gt;1980&lt;/citation.value45&gt;&lt;citation.key46&gt;UnreportedCase.Database.DBReference.Year._Pattern&lt;/citation.key46&gt;&lt;citation.value46&gt;Year.Year&lt;/citation.value46&gt;&lt;citation.key47&gt;UnreportedCase.Database.DBReference._Pattern&lt;/citation.key47&gt;&lt;citation.value47&gt;Case_DatabaseReference.Case_DatabaseReference&lt;/citation.value47&gt;&lt;citation.key48&gt;UnreportedCase.Database._Pattern&lt;/citation.key48&gt;&lt;citation.value48&gt;Case_DatabaseList.Case_DatabaseList&lt;/citation.value48&gt;&lt;citation.key49&gt;UnreportedCase.RequiredComma&lt;/citation.key49&gt;&lt;citation.value49&gt;, &lt;/citation.value49&gt;&lt;citation.key50&gt;UnreportedCase.RequiredComma.Comma&lt;/citation.key50&gt;&lt;citation.value50&gt;,&lt;/citation.value50&gt;&lt;citation.key51&gt;UnreportedCase.RequiredComma._Pattern&lt;/citation.key51&gt;&lt;citation.value51&gt;RequiredComma.RequiredComma&lt;/citation.value51&gt;&lt;citation.key52&gt;UnreportedCase._Pattern&lt;/citation.key52&gt;&lt;citation.value52&gt;UnreportedCase.UnreportedCase&lt;/citation.value52&gt;&lt;citation.key53&gt;UnreportedCase.__PinPages&lt;/citation.key53&gt;&lt;citation.value53&gt;*207 &lt;/citation.value53&gt;&lt;citation.key54&gt;UnreportedCase.__PinPages.Asterisk&lt;/citation.key54&gt;&lt;citation.value54&gt;*&lt;/citation.value54&gt;&lt;citation.key55&gt;UnreportedCase.__PinPages.First&lt;/citation.key55&gt;&lt;citation.value55&gt;207&lt;/citation.value55&gt;&lt;citation.key56&gt;UnreportedCase.__PinPages._Pattern&lt;/citation.key56&gt;&lt;citation.value56&gt;PinPagesDB.PinPagesDB&lt;/citation.value56&gt;&lt;citation.key57&gt;UnreportedCase.at&lt;/citation.key57&gt;&lt;citation.value57&gt;at&lt;/citation.value57&gt;&lt;citation.key58&gt;supra&lt;/citation.key58&gt;&lt;citation.value58&gt;&lt;/citation.value58&gt;&lt;citation.key59&gt;supra.,&lt;/citation.key59&gt;&lt;citation.value59&gt;, &lt;/citation.value59&gt;&lt;citation.key60&gt;supra._Pattern&lt;/citation.key60&gt;&lt;citation.value60&gt;ShortCaseSupra.ShortCaseSupra&lt;/citation.value60&gt;&lt;citation.key61&gt;supra.supra&lt;/citation.key61&gt;&lt;citation.value61&gt;supra&lt;/citation.value61&gt;&lt;/citation&gt;_x000a_"/>
    <w:docVar w:name="CITRUS_BOOKMARK71[0]" w:val="&lt;#1&gt;&lt;citation&gt;&lt;citation._original_string&gt;Warren v. Fox Family Worldwide, Inc., 328 F.3d 1136 (9th Cir. 2003)&lt;/citation._original_string&gt;&lt;citation._current_string&gt;Warren v. Fox Family Worldwide, Inc., 328 F.3d 1136 (9th Cir. 2003)&lt;/citation._current_string&gt;&lt;citation._full_string&gt;Warren v. Fox Family Worldwide, Inc., 328 F.3d 1136 (9th Cir. 2003)&lt;/citation._full_string&gt;&lt;citation._current_format&gt;Full.CaseCitation&lt;/citation._current_format&gt;&lt;citation.name&gt;&lt;/citation.name&gt;&lt;citation.key0&gt;,&lt;/citation.key0&gt;&lt;citation.value0&gt;,&lt;/citation.value0&gt;&lt;citation.key1&gt;CaseName&lt;/citation.key1&gt;&lt;citation.value1&gt;Warren v. Fox Family Worldwide, Inc. &lt;/citation.value1&gt;&lt;citation.key2&gt;CaseName.FirstParty&lt;/citation.key2&gt;&lt;citation.value2&gt;Warren &lt;/citation.value2&gt;&lt;citation.key3&gt;CaseName.FirstParty.Party&lt;/citation.key3&gt;&lt;citation.value3&gt;Warren&lt;/citation.value3&gt;&lt;citation.key4&gt;CaseName.FirstParty._Pattern&lt;/citation.key4&gt;&lt;citation.value4&gt;Party.Party&lt;/citation.value4&gt;&lt;citation.key5&gt;CaseName.SecondParty&lt;/citation.key5&gt;&lt;citation.value5&gt;Fox Family Worldwide, Inc. &lt;/citation.value5&gt;&lt;citation.key6&gt;CaseName.SecondParty.Party&lt;/citation.key6&gt;&lt;citation.value6&gt;Fox Family Worldwide, Inc.&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9th Cir. 2003) &lt;/citation.value10&gt;&lt;citation.key11&gt;CourtParenthetical.CourtName&lt;/citation.key11&gt;&lt;citation.value11&gt;9th Cir. &lt;/citation.value11&gt;&lt;citation.key12&gt;CourtParenthetical.CourtName.CourtName&lt;/citation.key12&gt;&lt;citation.value12&gt;9th Cir.&lt;/citation.value12&gt;&lt;citation.key13&gt;CourtParenthetical.CourtName._Pattern&lt;/citation.key13&gt;&lt;citation.value13&gt;CourtName.CourtName&lt;/citation.value13&gt;&lt;citation.key14&gt;CourtParenthetical.Date&lt;/citation.key14&gt;&lt;citation.value14&gt;2003 &lt;/citation.value14&gt;&lt;citation.key15&gt;CourtParenthetical.Date.Year&lt;/citation.key15&gt;&lt;citation.value15&gt;2003 &lt;/citation.value15&gt;&lt;citation.key16&gt;CourtParenthetical.Date.Year.Year&lt;/citation.key16&gt;&lt;citation.value16&gt;2003&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328 F.3d 1136 &lt;/citation.value32&gt;&lt;citation.key33&gt;Reporter.FirstPage&lt;/citation.key33&gt;&lt;citation.value33&gt;1136&lt;/citation.value33&gt;&lt;citation.key34&gt;Reporter.Name&lt;/citation.key34&gt;&lt;citation.value34&gt;F.3d&lt;/citation.value34&gt;&lt;citation.key35&gt;Reporter.Volume&lt;/citation.key35&gt;&lt;citation.value35&gt;328&lt;/citation.value35&gt;&lt;citation.key36&gt;Reporter.[&lt;/citation.key36&gt;&lt;citation.value36&gt;[&lt;/citation.value36&gt;&lt;citation.key37&gt;Reporter.]&lt;/citation.key37&gt;&lt;citation.value37&gt;]&lt;/citation.value37&gt;&lt;citation.key38&gt;Reporter._Pattern&lt;/citation.key38&gt;&lt;citation.value38&gt;ShortReporter.ShortReporter&lt;/citation.value38&gt;&lt;citation.key39&gt;Reporter.page&lt;/citation.key39&gt;&lt;citation.value39&gt;page&lt;/citation.value39&gt;&lt;citation.key40&gt;RequiredComma&lt;/citation.key40&gt;&lt;citation.value40&gt;, &lt;/citation.value40&gt;&lt;citation.key41&gt;RequiredComma.Comma&lt;/citation.key41&gt;&lt;citation.value41&gt;,&lt;/citation.value41&gt;&lt;citation.key42&gt;RequiredComma._Pattern&lt;/citation.key42&gt;&lt;citation.value42&gt;RequiredComma.RequiredComma&lt;/citation.value42&gt;&lt;citation.key43&gt;supra&lt;/citation.key43&gt;&lt;citation.value43&gt;&lt;/citation.value43&gt;&lt;citation.key44&gt;supra.,&lt;/citation.key44&gt;&lt;citation.value44&gt;, &lt;/citation.value44&gt;&lt;citation.key45&gt;supra._Pattern&lt;/citation.key45&gt;&lt;citation.value45&gt;ShortCaseSupra.ShortCaseSupra&lt;/citation.value45&gt;&lt;citation.key46&gt;supra.supra&lt;/citation.key46&gt;&lt;citation.value46&gt;supra&lt;/citation.value46&gt;&lt;/citation&gt;_x000a_"/>
    <w:docVar w:name="CITRUS_BOOKMARK75[0]" w:val="&lt;#1&gt;&lt;citation&gt;&lt;citation._original_string&gt;Cmty. for Creative Non-Violence v. Reid, 490 U.S. 730 (1989)&lt;/citation._original_string&gt;&lt;citation._current_string&gt;Cmty. for Creative Non-Violence v. Reid, 490 U.S. 730 (1989)&lt;/citation._current_string&gt;&lt;citation._full_string&gt;Cmty. for Creative Non-Violence v. Reid, 490 U.S. 730 (1989)&lt;/citation._full_string&gt;&lt;citation._current_format&gt;Full.CaseCitation&lt;/citation._current_format&gt;&lt;citation.name&gt;&lt;/citation.name&gt;&lt;citation.key0&gt;,&lt;/citation.key0&gt;&lt;citation.value0&gt;,&lt;/citation.value0&gt;&lt;citation.key1&gt;CaseName&lt;/citation.key1&gt;&lt;citation.value1&gt;Cmty. for Creative Non-Violence v. Reid &lt;/citation.value1&gt;&lt;citation.key2&gt;CaseName.FirstParty&lt;/citation.key2&gt;&lt;citation.value2&gt;Cmty. for Creative Non-Violence &lt;/citation.value2&gt;&lt;citation.key3&gt;CaseName.FirstParty.Party&lt;/citation.key3&gt;&lt;citation.value3&gt;Community for Creative Non-Violence&lt;/citation.value3&gt;&lt;citation.key4&gt;CaseName.FirstParty._Pattern&lt;/citation.key4&gt;&lt;citation.value4&gt;Party.Party&lt;/citation.value4&gt;&lt;citation.key5&gt;CaseName.SecondParty&lt;/citation.key5&gt;&lt;citation.value5&gt;Reid &lt;/citation.value5&gt;&lt;citation.key6&gt;CaseName.SecondParty.Party&lt;/citation.key6&gt;&lt;citation.value6&gt;Reid&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89) &lt;/citation.value10&gt;&lt;citation.key11&gt;CourtParenthetical.Date&lt;/citation.key11&gt;&lt;citation.value11&gt;1989 &lt;/citation.value11&gt;&lt;citation.key12&gt;CourtParenthetical.Date.Year&lt;/citation.key12&gt;&lt;citation.value12&gt;1989 &lt;/citation.value12&gt;&lt;citation.key13&gt;CourtParenthetical.Date.Year.Year&lt;/citation.key13&gt;&lt;citation.value13&gt;1989&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Cmty. for Creative Non-Violence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490 U.S. 730 &lt;/citation.value30&gt;&lt;citation.key31&gt;Reporter.FirstPage&lt;/citation.key31&gt;&lt;citation.value31&gt;730&lt;/citation.value31&gt;&lt;citation.key32&gt;Reporter.Name&lt;/citation.key32&gt;&lt;citation.value32&gt;U.S.&lt;/citation.value32&gt;&lt;citation.key33&gt;Reporter.Volume&lt;/citation.key33&gt;&lt;citation.value33&gt;490&lt;/citation.value33&gt;&lt;citation.key34&gt;Reporter.[&lt;/citation.key34&gt;&lt;citation.value34&gt;[&lt;/citation.value34&gt;&lt;citation.key35&gt;Reporter.]&lt;/citation.key35&gt;&lt;citation.value35&gt;]&lt;/citation.value35&gt;&lt;citation.key36&gt;Reporter._Pattern&lt;/citation.key36&gt;&lt;citation.value36&gt;ShortReporter.ShortReporter&lt;/citation.value36&gt;&lt;citation.key37&gt;Reporter.page&lt;/citation.key37&gt;&lt;citation.value37&gt;page&lt;/citation.value37&gt;&lt;citation.key38&gt;RequiredComma&lt;/citation.key38&gt;&lt;citation.value38&gt;, &lt;/citation.value38&gt;&lt;citation.key39&gt;RequiredComma.Comma&lt;/citation.key39&gt;&lt;citation.value39&gt;,&lt;/citation.value39&gt;&lt;citation.key40&gt;RequiredComma._Pattern&lt;/citation.key40&gt;&lt;citation.value40&gt;RequiredComma.RequiredComma&lt;/citation.value40&gt;&lt;citation.key41&gt;SecondParty&lt;/citation.key41&gt;&lt;citation.value41&gt;Reid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78[0]" w:val="&lt;#1&gt;&lt;citation&gt;&lt;citation._original_string&gt;Massachusetts v. EPA, 549 U.S. 497, 528-535 (2007)&lt;/citation._original_string&gt;&lt;citation._current_string&gt;Mass. v. EPA, 549 U.S. 497, 528-35 (2007)&lt;/citation._current_string&gt;&lt;citation._full_string&gt;Mass. v. EPA, 549 U.S. 497, 528-35 (2007)&lt;/citation._full_string&gt;&lt;citation._current_format&gt;Full.CaseCitation&lt;/citation._current_format&gt;&lt;citation.name&gt;&lt;/citation.name&gt;&lt;citation.key0&gt;,&lt;/citation.key0&gt;&lt;citation.value0&gt;,&lt;/citation.value0&gt;&lt;citation.key1&gt;CaseName.FirstParty.Party&lt;/citation.key1&gt;&lt;citation.value1&gt;Mass.&lt;/citation.value1&gt;&lt;citation.key2&gt;CaseName.FirstParty._Pattern&lt;/citation.key2&gt;&lt;citation.value2&gt;Party.Party&lt;/citation.value2&gt;&lt;citation.key3&gt;CaseName.SecondParty.Party&lt;/citation.key3&gt;&lt;citation.value3&gt;EPA&lt;/citation.value3&gt;&lt;citation.key4&gt;CaseName.SecondParty._Pattern&lt;/citation.key4&gt;&lt;citation.value4&gt;Party.Party&lt;/citation.value4&gt;&lt;citation.key5&gt;CourtParenthetical&lt;/citation.key5&gt;&lt;citation.value5&gt; (2007) &lt;/citation.value5&gt;&lt;citation.key6&gt;CourtParenthetical.Date.Year.Year&lt;/citation.key6&gt;&lt;citation.value6&gt;2007&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Mass.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49 U.S. 497, 528-35 &lt;/citation.value23&gt;&lt;citation.key24&gt;Reporter.FirstPage&lt;/citation.key24&gt;&lt;citation.value24&gt;497&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549&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528-35 &lt;/citation.value33&gt;&lt;citation.key34&gt;Reporter.__PinPages.First&lt;/citation.key34&gt;&lt;citation.value34&gt;528&lt;/citation.value34&gt;&lt;citation.key35&gt;Reporter.__PinPages.First._Pattern&lt;/citation.key35&gt;&lt;citation.value35&gt;FirstPageInRange.FirstPageInRange&lt;/citation.value35&gt;&lt;citation.key36&gt;Reporter.__PinPages.First.__PageNumber&lt;/citation.key36&gt;&lt;citation.value36&gt;528&lt;/citation.value36&gt;&lt;citation.key37&gt;Reporter.__PinPages.Last&lt;/citation.key37&gt;&lt;citation.value37&gt;35 &lt;/citation.value37&gt;&lt;citation.key38&gt;Reporter.__PinPages.Last.PageNumber&lt;/citation.key38&gt;&lt;citation.value38&gt;35&lt;/citation.value38&gt;&lt;citation.key39&gt;Reporter.__PinPages.Last.PageNumber_Full&lt;/citation.key39&gt;&lt;citation.value39&gt;535&lt;/citation.value39&gt;&lt;citation.key40&gt;Reporter.__PinPages.Last._Pattern&lt;/citation.key40&gt;&lt;citation.value40&gt;LastPageNumber.LastPageNumber&lt;/citation.value40&gt;&lt;citation.key41&gt;Reporter.__PinPages.RangeDash&lt;/citation.key41&gt;&lt;citation.value41&gt;-&lt;/citation.value41&gt;&lt;citation.key42&gt;Reporter.__PinPages._Pattern&lt;/citation.key42&gt;&lt;citation.value42&gt;PinPages.PinPages&lt;/citation.value42&gt;&lt;citation.key43&gt;Reporter.page&lt;/citation.key43&gt;&lt;citation.value43&gt;pages&lt;/citation.value43&gt;&lt;citation.key44&gt;RequiredComma&lt;/citation.key44&gt;&lt;citation.value44&gt;, &lt;/citation.value44&gt;&lt;citation.key45&gt;RequiredComma._Pattern&lt;/citation.key45&gt;&lt;citation.value45&gt;RequiredComma.RequiredComma&lt;/citation.value45&gt;&lt;citation.key46&gt;SecondParty&lt;/citation.key46&gt;&lt;citation.value46&gt;EPA &lt;/citation.value46&gt;&lt;citation.key47&gt;supra&lt;/citation.key47&gt;&lt;citation.value47&gt;&lt;/citation.value47&gt;&lt;citation.key48&gt;supra.,&lt;/citation.key48&gt;&lt;citation.value48&gt;, &lt;/citation.value48&gt;&lt;citation.key49&gt;supra._Pattern&lt;/citation.key49&gt;&lt;citation.value49&gt;ShortCaseSupra.ShortCaseSupra&lt;/citation.value49&gt;&lt;citation.key50&gt;supra.supra&lt;/citation.key50&gt;&lt;citation.value50&gt;supra&lt;/citation.value50&gt;&lt;citation.key51&gt;v&lt;/citation.key51&gt;&lt;citation.value51&gt;v.&lt;/citation.value51&gt;&lt;/citation&gt;_x000a_"/>
    <w:docVar w:name="CITRUS_BOOKMARK8[0]" w:val="&lt;#1&gt;&lt;citation&gt;&lt;citation._original_string&gt;Playboy Enters. v. Dumas, 53 F.3d 549, 559 (2d Cir. 1995)&lt;/citation._original_string&gt;&lt;citation._current_string&gt;Playboy Enters. v. Dumas, 53 F.3d 549, 559 (2d Cir. 1995)&lt;/citation._current_string&gt;&lt;citation._full_string&gt;Playboy Enters. v. Dumas, 53 F.3d 549, 559 (2d Cir. 1995)&lt;/citation._full_string&gt;&lt;citation._current_format&gt;Full.CaseCitation&lt;/citation._current_format&gt;&lt;citation.name&gt;&lt;/citation.name&gt;&lt;citation.key0&gt;,&lt;/citation.key0&gt;&lt;citation.value0&gt;,&lt;/citation.value0&gt;&lt;citation.key1&gt;CaseName&lt;/citation.key1&gt;&lt;citation.value1&gt;Playboy Enters. v. Dumas &lt;/citation.value1&gt;&lt;citation.key2&gt;CaseName.FirstParty&lt;/citation.key2&gt;&lt;citation.value2&gt;Playboy Enters. &lt;/citation.value2&gt;&lt;citation.key3&gt;CaseName.FirstParty.Party&lt;/citation.key3&gt;&lt;citation.value3&gt;Playboy Enters.&lt;/citation.value3&gt;&lt;citation.key4&gt;CaseName.FirstParty._Pattern&lt;/citation.key4&gt;&lt;citation.value4&gt;Party.Party&lt;/citation.value4&gt;&lt;citation.key5&gt;CaseName.SecondParty&lt;/citation.key5&gt;&lt;citation.value5&gt;Dumas &lt;/citation.value5&gt;&lt;citation.key6&gt;CaseName.SecondParty.Party&lt;/citation.key6&gt;&lt;citation.value6&gt;Dumas&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2d Cir. 1995) &lt;/citation.value10&gt;&lt;citation.key11&gt;CourtParenthetical.CourtName&lt;/citation.key11&gt;&lt;citation.value11&gt;2d Cir. &lt;/citation.value11&gt;&lt;citation.key12&gt;CourtParenthetical.CourtName.CourtName&lt;/citation.key12&gt;&lt;citation.value12&gt;2d Cir.&lt;/citation.value12&gt;&lt;citation.key13&gt;CourtParenthetical.CourtName._Pattern&lt;/citation.key13&gt;&lt;citation.value13&gt;CourtName.CourtName&lt;/citation.value13&gt;&lt;citation.key14&gt;CourtParenthetical.Date&lt;/citation.key14&gt;&lt;citation.value14&gt;1995 &lt;/citation.value14&gt;&lt;citation.key15&gt;CourtParenthetical.Date.Year&lt;/citation.key15&gt;&lt;citation.value15&gt;1995 &lt;/citation.value15&gt;&lt;citation.key16&gt;CourtParenthetical.Date.Year.Year&lt;/citation.key16&gt;&lt;citation.value16&gt;1995&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53 F.3d at 559&lt;/citation.value32&gt;&lt;citation.key33&gt;Reporter.FirstPage&lt;/citation.key33&gt;&lt;citation.value33&gt;549&lt;/citation.value33&gt;&lt;citation.key34&gt;Reporter.Name&lt;/citation.key34&gt;&lt;citation.value34&gt;F.3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53&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559&lt;/citation.value42&gt;&lt;citation.key43&gt;Reporter.__PinPages.First&lt;/citation.key43&gt;&lt;citation.value43&gt;559&lt;/citation.value43&gt;&lt;citation.key44&gt;Reporter.__PinPages.First._Pattern&lt;/citation.key44&gt;&lt;citation.value44&gt;FirstPageInRange.FirstPageInRange&lt;/citation.value44&gt;&lt;citation.key45&gt;Reporter.__PinPages.First.__PageNumber&lt;/citation.key45&gt;&lt;citation.value45&gt;559&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82[0]" w:val="&lt;#1&gt;&lt;citation&gt;&lt;citation._original_string&gt;Perrin v. United States, 444 U.S. 37, 42&lt;/citation._original_string&gt;&lt;citation._current_string&gt;Perrin v. United States, 444 U.S. 37, 42 (1979)&lt;/citation._current_string&gt;&lt;citation._full_string&gt;Perrin v. United States, 444 U.S. 37, 42 (1979)&lt;/citation._full_string&gt;&lt;citation._current_format&gt;Full.CaseCitation&lt;/citation._current_format&gt;&lt;citation.name&gt;&lt;/citation.name&gt;&lt;citation.key0&gt;,&lt;/citation.key0&gt;&lt;citation.value0&gt;,&lt;/citation.value0&gt;&lt;citation.key1&gt;CaseName.FirstParty.Party&lt;/citation.key1&gt;&lt;citation.value1&gt;Perrin&lt;/citation.value1&gt;&lt;citation.key2&gt;CaseName.FirstParty._Pattern&lt;/citation.key2&gt;&lt;citation.value2&gt;Party.Party&lt;/citation.value2&gt;&lt;citation.key3&gt;CaseName.SecondParty.Party&lt;/citation.key3&gt;&lt;citation.value3&gt;United States&lt;/citation.value3&gt;&lt;citation.key4&gt;CaseName.SecondParty._Pattern&lt;/citation.key4&gt;&lt;citation.value4&gt;Party.Party&lt;/citation.value4&gt;&lt;citation.key5&gt;CourtParenthetical&lt;/citation.key5&gt;&lt;citation.value5&gt; (1979) &lt;/citation.value5&gt;&lt;citation.key6&gt;CourtParenthetical.Date.Year.Year&lt;/citation.key6&gt;&lt;citation.value6&gt;1979&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_Pattern&lt;/citation.key9&gt;&lt;citation.value9&gt;CourtParenthetical.CourtParenthetical&lt;/citation.value9&gt;&lt;citation.key10&gt;FirstParty&lt;/citation.key10&gt;&lt;citation.value10&gt;Perrin &lt;/citation.value10&gt;&lt;citation.key11&gt;Id&lt;/citation.key11&gt;&lt;citation.value11&gt;Id. &lt;/citation.value11&gt;&lt;citation.key12&gt;Id.Id&lt;/citation.key12&gt;&lt;citation.value12&gt;Id.&lt;/citation.value12&gt;&lt;citation.key13&gt;Id._Pattern&lt;/citation.key13&gt;&lt;citation.value13&gt;IdGraph.IdGraph&lt;/citation.value13&gt;&lt;citation.key14&gt;NY L Paren&lt;/citation.key14&gt;&lt;citation.value14&gt;(&lt;/citation.value14&gt;&lt;citation.key15&gt;NY R Paren&lt;/citation.key15&gt;&lt;citation.value15&gt;)&lt;/citation.value15&gt;&lt;citation.key16&gt;Reporter&lt;/citation.key16&gt;&lt;citation.value16&gt;444 U.S. 37, 42&lt;/citation.value16&gt;&lt;citation.key17&gt;Reporter.FirstPage&lt;/citation.key17&gt;&lt;citation.value17&gt;37&lt;/citation.value17&gt;&lt;citation.key18&gt;Reporter.Name&lt;/citation.key18&gt;&lt;citation.value18&gt;U.S.&lt;/citation.value18&gt;&lt;citation.key19&gt;Reporter.RequiredComma&lt;/citation.key19&gt;&lt;citation.value19&gt;, &lt;/citation.value19&gt;&lt;citation.key20&gt;Reporter.RequiredComma.Comma&lt;/citation.key20&gt;&lt;citation.value20&gt;,&lt;/citation.value20&gt;&lt;citation.key21&gt;Reporter.RequiredComma._Pattern&lt;/citation.key21&gt;&lt;citation.value21&gt;RequiredComma.RequiredComma&lt;/citation.value21&gt;&lt;citation.key22&gt;Reporter.Volume&lt;/citation.key22&gt;&lt;citation.value22&gt;444&lt;/citation.value22&gt;&lt;citation.key23&gt;Reporter.[&lt;/citation.key23&gt;&lt;citation.value23&gt;[&lt;/citation.value23&gt;&lt;citation.key24&gt;Reporter.]&lt;/citation.key24&gt;&lt;citation.value24&gt;]&lt;/citation.value24&gt;&lt;citation.key25&gt;Reporter._Pattern&lt;/citation.key25&gt;&lt;citation.value25&gt;Reporter.Reporter&lt;/citation.value25&gt;&lt;citation.key26&gt;Reporter.__PinPages&lt;/citation.key26&gt;&lt;citation.value26&gt;42&lt;/citation.value26&gt;&lt;citation.key27&gt;Reporter.__PinPages.First&lt;/citation.key27&gt;&lt;citation.value27&gt;42&lt;/citation.value27&gt;&lt;citation.key28&gt;Reporter.__PinPages.First._Pattern&lt;/citation.key28&gt;&lt;citation.value28&gt;FirstPageInRange.FirstPageInRange&lt;/citation.value28&gt;&lt;citation.key29&gt;Reporter.__PinPages.First.__PageNumber&lt;/citation.key29&gt;&lt;citation.value29&gt;42&lt;/citation.value29&gt;&lt;citation.key30&gt;Reporter.__PinPages._Pattern&lt;/citation.key30&gt;&lt;citation.value30&gt;PinPages.PinPages&lt;/citation.value30&gt;&lt;citation.key31&gt;Reporter.page&lt;/citation.key31&gt;&lt;citation.value31&gt;page&lt;/citation.value31&gt;&lt;citation.key32&gt;RequiredComma&lt;/citation.key32&gt;&lt;citation.value32&gt;, &lt;/citation.value32&gt;&lt;citation.key33&gt;RequiredComma._Pattern&lt;/citation.key33&gt;&lt;citation.value33&gt;RequiredComma.RequiredComma&lt;/citation.value33&gt;&lt;citation.key34&gt;SecondParty&lt;/citation.key34&gt;&lt;citation.value34&gt;United States &lt;/citation.value34&gt;&lt;citation.key35&gt;supra&lt;/citation.key35&gt;&lt;citation.value35&gt;&lt;/citation.value35&gt;&lt;citation.key36&gt;supra.,&lt;/citation.key36&gt;&lt;citation.value36&gt;, &lt;/citation.value36&gt;&lt;citation.key37&gt;supra._Pattern&lt;/citation.key37&gt;&lt;citation.value37&gt;ShortCaseSupra.ShortCaseSupra&lt;/citation.value37&gt;&lt;citation.key38&gt;supra.supra&lt;/citation.key38&gt;&lt;citation.value38&gt;supra&lt;/citation.value38&gt;&lt;citation.key39&gt;v&lt;/citation.key39&gt;&lt;citation.value39&gt;v.&lt;/citation.value39&gt;&lt;/citation&gt;_x000a_"/>
    <w:docVar w:name="CITRUS_BOOKMARK83[0]" w:val="&lt;#1&gt;&lt;citation&gt;&lt;citation._original_string&gt;Bilski v. Kappos, 130 S. Ct. 3218, 3226&lt;/citation._original_string&gt;&lt;citation._current_string&gt;Bilski v. Kappos, 130 S. Ct. 3218, 3226 (2010)&lt;/citation._current_string&gt;&lt;citation._full_string&gt;Bilski v. Kappos, 130 S. Ct. 3218, 3226 (2010)&lt;/citation._full_string&gt;&lt;citation._current_format&gt;Full.CaseCitation&lt;/citation._current_format&gt;&lt;citation.name&gt;&lt;/citation.name&gt;&lt;citation.key0&gt;,&lt;/citation.key0&gt;&lt;citation.value0&gt;,&lt;/citation.value0&gt;&lt;citation.key1&gt;CaseName.FirstParty&lt;/citation.key1&gt;&lt;citation.value1&gt;Bilski&lt;/citation.value1&gt;&lt;citation.key2&gt;CaseName.FirstParty.Party&lt;/citation.key2&gt;&lt;citation.value2&gt;Bilski&lt;/citation.value2&gt;&lt;citation.key3&gt;CaseName.FirstParty._Pattern&lt;/citation.key3&gt;&lt;citation.value3&gt;Party.Party&lt;/citation.value3&gt;&lt;citation.key4&gt;CaseName.SecondParty&lt;/citation.key4&gt;&lt;citation.value4&gt;Kappos&lt;/citation.value4&gt;&lt;citation.key5&gt;CaseName.SecondParty.Party&lt;/citation.key5&gt;&lt;citation.value5&gt;Kappos&lt;/citation.value5&gt;&lt;citation.key6&gt;CaseName.SecondParty._Pattern&lt;/citation.key6&gt;&lt;citation.value6&gt;Party.Party&lt;/citation.value6&gt;&lt;citation.key7&gt;CaseName._Pattern&lt;/citation.key7&gt;&lt;citation.value7&gt;&lt;/citation.value7&gt;&lt;citation.key8&gt;CourtParenthetical&lt;/citation.key8&gt;&lt;citation.value8&gt; (2010) &lt;/citation.value8&gt;&lt;citation.key9&gt;CourtParenthetical.Date.Year&lt;/citation.key9&gt;&lt;citation.value9&gt;2010&lt;/citation.value9&gt;&lt;citation.key10&gt;CourtParenthetical.Date.Year.Year&lt;/citation.key10&gt;&lt;citation.value10&gt;2010&lt;/citation.value10&gt;&lt;citation.key11&gt;CourtParenthetical.Date.Year._Pattern&lt;/citation.key11&gt;&lt;citation.value11&gt;CourtParenthetical.Date.Year.Year&lt;/citation.value11&gt;&lt;citation.key12&gt;CourtParenthetical.Date._Pattern&lt;/citation.key12&gt;&lt;citation.value12&gt;CourtParenthetical.Date.Date&lt;/citation.value12&gt;&lt;citation.key13&gt;CourtParenthetical._Pattern&lt;/citation.key13&gt;&lt;citation.value13&gt;CourtParenthetical.CourtParenthetical&lt;/citation.value13&gt;&lt;citation.key14&gt;HAS_AUTHORITATIVE_DATA&lt;/citation.key14&gt;&lt;citation.value14&gt;YES&lt;/citation.value14&gt;&lt;citation.key15&gt;Id&lt;/citation.key15&gt;&lt;citation.value15&gt;Id. &lt;/citation.value15&gt;&lt;citation.key16&gt;Id.Id&lt;/citation.key16&gt;&lt;citation.value16&gt;Id.&lt;/citation.value16&gt;&lt;citation.key17&gt;Id._Pattern&lt;/citation.key17&gt;&lt;citation.value17&gt;IdGraph.IdGraph&lt;/citation.value17&gt;&lt;citation.key18&gt;NY L Paren&lt;/citation.key18&gt;&lt;citation.value18&gt;(&lt;/citation.value18&gt;&lt;citation.key19&gt;NY R Paren&lt;/citation.key19&gt;&lt;citation.value19&gt;)&lt;/citation.value19&gt;&lt;citation.key20&gt;Reporter&lt;/citation.key20&gt;&lt;citation.value20&gt;130 S. Ct. 3218, 3226&lt;/citation.value20&gt;&lt;citation.key21&gt;Reporter.FirstPage&lt;/citation.key21&gt;&lt;citation.value21&gt;3218&lt;/citation.value21&gt;&lt;citation.key22&gt;Reporter.Name&lt;/citation.key22&gt;&lt;citation.value22&gt;S. Ct.&lt;/citation.value22&gt;&lt;citation.key23&gt;Reporter.RequiredComma&lt;/citation.key23&gt;&lt;citation.value23&gt;, &lt;/citation.value23&gt;&lt;citation.key24&gt;Reporter.RequiredComma.Comma&lt;/citation.key24&gt;&lt;citation.value24&gt;,&lt;/citation.value24&gt;&lt;citation.key25&gt;Reporter.RequiredComma._Pattern&lt;/citation.key25&gt;&lt;citation.value25&gt;RequiredComma.RequiredComma&lt;/citation.value25&gt;&lt;citation.key26&gt;Reporter.Volume&lt;/citation.key26&gt;&lt;citation.value26&gt;130&lt;/citation.value26&gt;&lt;citation.key27&gt;Reporter.[&lt;/citation.key27&gt;&lt;citation.value27&gt;[&lt;/citation.value27&gt;&lt;citation.key28&gt;Reporter.]&lt;/citation.key28&gt;&lt;citation.value28&gt;]&lt;/citation.value28&gt;&lt;citation.key29&gt;Reporter._Pattern&lt;/citation.key29&gt;&lt;citation.value29&gt;Reporter.Reporter&lt;/citation.value29&gt;&lt;citation.key30&gt;Reporter.__PinPages&lt;/citation.key30&gt;&lt;citation.value30&gt;3226&lt;/citation.value30&gt;&lt;citation.key31&gt;Reporter.__PinPages.First&lt;/citation.key31&gt;&lt;citation.value31&gt;3226&lt;/citation.value31&gt;&lt;citation.key32&gt;Reporter.__PinPages.First._Pattern&lt;/citation.key32&gt;&lt;citation.value32&gt;FirstPageInRange.FirstPageInRange&lt;/citation.value32&gt;&lt;citation.key33&gt;Reporter.__PinPages.First.__PageNumber&lt;/citation.key33&gt;&lt;citation.value33&gt;3226&lt;/citation.value33&gt;&lt;citation.key34&gt;Reporter.__PinPages._Pattern&lt;/citation.key34&gt;&lt;citation.value34&gt;PinPages.PinPages&lt;/citation.value34&gt;&lt;citation.key35&gt;Reporter.page&lt;/citation.key35&gt;&lt;citation.value35&gt;page&lt;/citation.value35&gt;&lt;citation.key36&gt;RequiredComma&lt;/citation.key36&gt;&lt;citation.value36&gt;, &lt;/citation.value36&gt;&lt;citation.key37&gt;RequiredComma._Pattern&lt;/citation.key37&gt;&lt;citation.value37&gt;RequiredComma.RequiredComma&lt;/citation.value37&gt;&lt;citation.key38&gt;supra&lt;/citation.key38&gt;&lt;citation.value38&gt;&lt;/citation.value38&gt;&lt;citation.key39&gt;supra.,&lt;/citation.key39&gt;&lt;citation.value39&gt;, &lt;/citation.value39&gt;&lt;citation.key40&gt;supra._Pattern&lt;/citation.key40&gt;&lt;citation.value40&gt;ShortCaseSupra.ShortCaseSupra&lt;/citation.value40&gt;&lt;citation.key41&gt;supra.supra&lt;/citation.key41&gt;&lt;citation.value41&gt;supra&lt;/citation.value41&gt;&lt;/citation&gt;_x000a_"/>
    <w:docVar w:name="CITRUS_BOOKMARK85[0]" w:val="&lt;#1&gt;&lt;citation&gt;&lt;citation._original_string&gt;Mallard v. United States Dist. Ct., 490 U.S. 296, 302 (1989)&lt;/citation._original_string&gt;&lt;citation._current_string&gt;Mallard v. U.S. Dist. Court for S. Dist. of Iowa, 490 U.S. 296, 302 (1989)&lt;/citation._current_string&gt;&lt;citation._full_string&gt;Mallard v. U.S. Dist. Court for S. Dist. of Iowa, 490 U.S. 296, 302 (1989)&lt;/citation._full_string&gt;&lt;citation._current_format&gt;Full.CaseCitation&lt;/citation._current_format&gt;&lt;citation.name&gt;&lt;/citation.name&gt;&lt;citation.key0&gt;,&lt;/citation.key0&gt;&lt;citation.value0&gt;,&lt;/citation.value0&gt;&lt;citation.key1&gt;CaseName.FirstParty.Party&lt;/citation.key1&gt;&lt;citation.value1&gt;Mallard&lt;/citation.value1&gt;&lt;citation.key2&gt;CaseName.FirstParty._Pattern&lt;/citation.key2&gt;&lt;citation.value2&gt;Party.Party&lt;/citation.value2&gt;&lt;citation.key3&gt;CaseName.SecondParty.Party&lt;/citation.key3&gt;&lt;citation.value3&gt;United States District Court for Southern District of Iowa&lt;/citation.value3&gt;&lt;citation.key4&gt;CaseName.SecondParty._Pattern&lt;/citation.key4&gt;&lt;citation.value4&gt;Party.Party&lt;/citation.value4&gt;&lt;citation.key5&gt;CourtParenthetical&lt;/citation.key5&gt;&lt;citation.value5&gt; (1989) &lt;/citation.value5&gt;&lt;citation.key6&gt;CourtParenthetical.Date.Year.Year&lt;/citation.key6&gt;&lt;citation.value6&gt;1989&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Mallard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490 U.S. 296, 302&lt;/citation.value23&gt;&lt;citation.key24&gt;Reporter.FirstPage&lt;/citation.key24&gt;&lt;citation.value24&gt;296&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490&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302&lt;/citation.value33&gt;&lt;citation.key34&gt;Reporter.__PinPages.First&lt;/citation.key34&gt;&lt;citation.value34&gt;302&lt;/citation.value34&gt;&lt;citation.key35&gt;Reporter.__PinPages.First._Pattern&lt;/citation.key35&gt;&lt;citation.value35&gt;FirstPageInRange.FirstPageInRange&lt;/citation.value35&gt;&lt;citation.key36&gt;Reporter.__PinPages.First.__PageNumber&lt;/citation.key36&gt;&lt;citation.value36&gt;302&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U.S. Dist. Court for S. Dist. of Iowa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86[0]" w:val="&lt;#1&gt;&lt;citation&gt;&lt;citation._original_string&gt;Dictionary (2012)&lt;/citation._original_string&gt;&lt;citation._current_string&gt;Dictionary (2012)&lt;/citation._current_string&gt;&lt;citation._full_string&gt;Dictionary  (2012)&lt;/citation._full_string&gt;&lt;citation._current_format&gt;Full.Nonperiodicals&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NonperiodicalsEnd&lt;/citation.key3&gt;&lt;citation.value3&gt; (2012) &lt;/citation.value3&gt;&lt;citation.key4&gt;NonperiodicalsEnd.(&lt;/citation.key4&gt;&lt;citation.value4&gt;(&lt;/citation.value4&gt;&lt;citation.key5&gt;NonperiodicalsEnd.)&lt;/citation.key5&gt;&lt;citation.value5&gt;)&lt;/citation.value5&gt;&lt;citation.key6&gt;NonperiodicalsEnd._Pattern&lt;/citation.key6&gt;&lt;citation.value6&gt;NonperiodicalsEnd.NonperiodicalsEnd&lt;/citation.value6&gt;&lt;citation.key7&gt;NonperiodicalsEnd.__Year&lt;/citation.key7&gt;&lt;citation.value7&gt;2012 &lt;/citation.value7&gt;&lt;citation.key8&gt;NonperiodicalsEnd.__Year.Year&lt;/citation.key8&gt;&lt;citation.value8&gt;2012&lt;/citation.value8&gt;&lt;citation.key9&gt;NonperiodicalsEnd.__Year._Pattern&lt;/citation.key9&gt;&lt;citation.value9&gt;Year.Year&lt;/citation.value9&gt;&lt;citation.key10&gt;NonperiodicalsEnd.__at&lt;/citation.key10&gt;&lt;citation.value10&gt;at &lt;/citation.value10&gt;&lt;citation.key11&gt;Title&lt;/citation.key11&gt;&lt;citation.value11&gt;Dictionary &lt;/citation.value11&gt;&lt;/citation&gt;_x000a_"/>
    <w:docVar w:name="CITRUS_BOOKMARK87[0]" w:val="&lt;#1&gt;&lt;citation&gt;&lt;citation._original_string&gt;TRW Inc. v. Andrews, 534 U.S. 19, 31&lt;/citation._original_string&gt;&lt;citation._current_string&gt;Id.&lt;/citation._current_string&gt;&lt;citation._full_string&gt;TRW Inc. v. Andrews, 534 U.S. 19, 31 (2001)&lt;/citation._full_string&gt;&lt;citation._current_format&gt;Id.CaseUId&lt;/citation._current_format&gt;&lt;citation.name&gt;&lt;/citation.name&gt;&lt;citation.key0&gt;,&lt;/citation.key0&gt;&lt;citation.value0&gt;,&lt;/citation.value0&gt;&lt;citation.key1&gt;CaseName.FirstParty.Party&lt;/citation.key1&gt;&lt;citation.value1&gt;TRW Inc.&lt;/citation.value1&gt;&lt;citation.key2&gt;CaseName.FirstParty._Pattern&lt;/citation.key2&gt;&lt;citation.value2&gt;Party.Party&lt;/citation.value2&gt;&lt;citation.key3&gt;CaseName.SecondParty.Party&lt;/citation.key3&gt;&lt;citation.value3&gt;Andrews&lt;/citation.value3&gt;&lt;citation.key4&gt;CaseName.SecondParty._Pattern&lt;/citation.key4&gt;&lt;citation.value4&gt;Party.Party&lt;/citation.value4&gt;&lt;citation.key5&gt;CourtParenthetical&lt;/citation.key5&gt;&lt;citation.value5&gt; (2001) &lt;/citation.value5&gt;&lt;citation.key6&gt;CourtParenthetical.Date.Year.Year&lt;/citation.key6&gt;&lt;citation.value6&gt;2001&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_Pattern&lt;/citation.key9&gt;&lt;citation.value9&gt;CourtParenthetical.CourtParenthetical&lt;/citation.value9&gt;&lt;citation.key10&gt;FirstParty&lt;/citation.key10&gt;&lt;citation.value10&gt;TRW Inc. &lt;/citation.value10&gt;&lt;citation.key11&gt;Id&lt;/citation.key11&gt;&lt;citation.value11&gt;Id. &lt;/citation.value11&gt;&lt;citation.key12&gt;Id.Id&lt;/citation.key12&gt;&lt;citation.value12&gt;Id.&lt;/citation.value12&gt;&lt;citation.key13&gt;Id._Pattern&lt;/citation.key13&gt;&lt;citation.value13&gt;IdGraph.IdGraph&lt;/citation.value13&gt;&lt;citation.key14&gt;NY L Paren&lt;/citation.key14&gt;&lt;citation.value14&gt;(&lt;/citation.value14&gt;&lt;citation.key15&gt;NY R Paren&lt;/citation.key15&gt;&lt;citation.value15&gt;)&lt;/citation.value15&gt;&lt;citation.key16&gt;Reporter&lt;/citation.key16&gt;&lt;citation.value16&gt;534 U.S. 19, 31&lt;/citation.value16&gt;&lt;citation.key17&gt;Reporter.FirstPage&lt;/citation.key17&gt;&lt;citation.value17&gt;19&lt;/citation.value17&gt;&lt;citation.key18&gt;Reporter.Name&lt;/citation.key18&gt;&lt;citation.value18&gt;U.S.&lt;/citation.value18&gt;&lt;citation.key19&gt;Reporter.RequiredComma&lt;/citation.key19&gt;&lt;citation.value19&gt;, &lt;/citation.value19&gt;&lt;citation.key20&gt;Reporter.RequiredComma.Comma&lt;/citation.key20&gt;&lt;citation.value20&gt;,&lt;/citation.value20&gt;&lt;citation.key21&gt;Reporter.RequiredComma._Pattern&lt;/citation.key21&gt;&lt;citation.value21&gt;RequiredComma.RequiredComma&lt;/citation.value21&gt;&lt;citation.key22&gt;Reporter.Volume&lt;/citation.key22&gt;&lt;citation.value22&gt;534&lt;/citation.value22&gt;&lt;citation.key23&gt;Reporter.[&lt;/citation.key23&gt;&lt;citation.value23&gt;[&lt;/citation.value23&gt;&lt;citation.key24&gt;Reporter.]&lt;/citation.key24&gt;&lt;citation.value24&gt;]&lt;/citation.value24&gt;&lt;citation.key25&gt;Reporter._Pattern&lt;/citation.key25&gt;&lt;citation.value25&gt;Reporter.Reporter&lt;/citation.value25&gt;&lt;citation.key26&gt;Reporter.__PinPages&lt;/citation.key26&gt;&lt;citation.value26&gt;31&lt;/citation.value26&gt;&lt;citation.key27&gt;Reporter.__PinPages.First&lt;/citation.key27&gt;&lt;citation.value27&gt;31&lt;/citation.value27&gt;&lt;citation.key28&gt;Reporter.__PinPages.First._Pattern&lt;/citation.key28&gt;&lt;citation.value28&gt;FirstPageInRange.FirstPageInRange&lt;/citation.value28&gt;&lt;citation.key29&gt;Reporter.__PinPages.First.__PageNumber&lt;/citation.key29&gt;&lt;citation.value29&gt;31&lt;/citation.value29&gt;&lt;citation.key30&gt;Reporter.__PinPages._Pattern&lt;/citation.key30&gt;&lt;citation.value30&gt;PinPages.PinPages&lt;/citation.value30&gt;&lt;citation.key31&gt;Reporter.page&lt;/citation.key31&gt;&lt;citation.value31&gt;page&lt;/citation.value31&gt;&lt;citation.key32&gt;RequiredComma&lt;/citation.key32&gt;&lt;citation.value32&gt;, &lt;/citation.value32&gt;&lt;citation.key33&gt;RequiredComma._Pattern&lt;/citation.key33&gt;&lt;citation.value33&gt;RequiredComma.RequiredComma&lt;/citation.value33&gt;&lt;citation.key34&gt;SecondParty&lt;/citation.key34&gt;&lt;citation.value34&gt;Andrews &lt;/citation.value34&gt;&lt;citation.key35&gt;supra&lt;/citation.key35&gt;&lt;citation.value35&gt;&lt;/citation.value35&gt;&lt;citation.key36&gt;supra.,&lt;/citation.key36&gt;&lt;citation.value36&gt;, &lt;/citation.value36&gt;&lt;citation.key37&gt;supra._Pattern&lt;/citation.key37&gt;&lt;citation.value37&gt;ShortCaseSupra.ShortCaseSupra&lt;/citation.value37&gt;&lt;citation.key38&gt;supra.supra&lt;/citation.key38&gt;&lt;citation.value38&gt;supra&lt;/citation.value38&gt;&lt;citation.key39&gt;v&lt;/citation.key39&gt;&lt;citation.value39&gt;v.&lt;/citation.value39&gt;&lt;/citation&gt;_x000a_"/>
    <w:docVar w:name="CITRUS_BOOKMARK89[0]" w:val="&lt;#1&gt;&lt;citation&gt;&lt;citation._original_string&gt;Ledbetter v. Goodyear Tire &amp; Rubber Co., 550 U.S. 618 (2007)&lt;/citation._original_string&gt;&lt;citation._current_string&gt;Ledbetter v. Goodyear Tire &amp; Rubber Co., 550 U.S. 618 (2007)&lt;/citation._current_string&gt;&lt;citation._full_string&gt;Ledbetter v. Goodyear Tire &amp; Rubber Co., 550 U.S. 618 (2007)&lt;/citation._full_string&gt;&lt;citation._current_format&gt;Full.CaseCitation&lt;/citation._current_format&gt;&lt;citation.name&gt;&lt;/citation.name&gt;&lt;citation.key0&gt;,&lt;/citation.key0&gt;&lt;citation.value0&gt;,&lt;/citation.value0&gt;&lt;citation.key1&gt;CaseName.FirstParty.Party&lt;/citation.key1&gt;&lt;citation.value1&gt;Ledbetter&lt;/citation.value1&gt;&lt;citation.key2&gt;CaseName.FirstParty._Pattern&lt;/citation.key2&gt;&lt;citation.value2&gt;Party.Party&lt;/citation.value2&gt;&lt;citation.key3&gt;CaseName.SecondParty.Party&lt;/citation.key3&gt;&lt;citation.value3&gt;Goodyear Tire and Rubber Co.&lt;/citation.value3&gt;&lt;citation.key4&gt;CaseName.SecondParty._Pattern&lt;/citation.key4&gt;&lt;citation.value4&gt;Party.Party&lt;/citation.value4&gt;&lt;citation.key5&gt;CourtParenthetical&lt;/citation.key5&gt;&lt;citation.value5&gt; (2007) &lt;/citation.value5&gt;&lt;citation.key6&gt;CourtParenthetical.Date.Year.Year&lt;/citation.key6&gt;&lt;citation.value6&gt;2007&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Ledbetter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50 U.S. 618 &lt;/citation.value23&gt;&lt;citation.key24&gt;Reporter.FirstPage&lt;/citation.key24&gt;&lt;citation.value24&gt;618&lt;/citation.value24&gt;&lt;citation.key25&gt;Reporter.Name&lt;/citation.key25&gt;&lt;citation.value25&gt;U.S.&lt;/citation.value25&gt;&lt;citation.key26&gt;Reporter.Volume&lt;/citation.key26&gt;&lt;citation.value26&gt;550&lt;/citation.value26&gt;&lt;citation.key27&gt;Reporter.[&lt;/citation.key27&gt;&lt;citation.value27&gt;[&lt;/citation.value27&gt;&lt;citation.key28&gt;Reporter.]&lt;/citation.key28&gt;&lt;citation.value28&gt;]&lt;/citation.value28&gt;&lt;citation.key29&gt;Reporter._Pattern&lt;/citation.key29&gt;&lt;citation.value29&gt;Reporter.Reporter&lt;/citation.value29&gt;&lt;citation.key30&gt;Reporter.page&lt;/citation.key30&gt;&lt;citation.value30&gt;page&lt;/citation.value30&gt;&lt;citation.key31&gt;RequiredComma&lt;/citation.key31&gt;&lt;citation.value31&gt;, &lt;/citation.value31&gt;&lt;citation.key32&gt;RequiredComma._Pattern&lt;/citation.key32&gt;&lt;citation.value32&gt;RequiredComma.RequiredComma&lt;/citation.value32&gt;&lt;citation.key33&gt;SecondParty&lt;/citation.key33&gt;&lt;citation.value33&gt;Goodyear Tire &amp; Rubber Co. &lt;/citation.value33&gt;&lt;citation.key34&gt;supra&lt;/citation.key34&gt;&lt;citation.value34&gt;&lt;/citation.value34&gt;&lt;citation.key35&gt;supra.,&lt;/citation.key35&gt;&lt;citation.value35&gt;, &lt;/citation.value35&gt;&lt;citation.key36&gt;supra._Pattern&lt;/citation.key36&gt;&lt;citation.value36&gt;ShortCaseSupra.ShortCaseSupra&lt;/citation.value36&gt;&lt;citation.key37&gt;supra.supra&lt;/citation.key37&gt;&lt;citation.value37&gt;supra&lt;/citation.value37&gt;&lt;citation.key38&gt;v&lt;/citation.key38&gt;&lt;citation.value38&gt;v.&lt;/citation.value38&gt;&lt;/citation&gt;_x000a_"/>
    <w:docVar w:name="CITRUS_BOOKMARK9[0]" w:val="&lt;#1&gt;&lt;citation&gt;&lt;citation._original_string&gt;17 U.S.C.S. § 101 (Law. Co-op. 1978)&lt;/citation._original_string&gt;&lt;citation._current_string&gt;17 U.S.C.S. § 101 (Law. Co-op. 1978)&lt;/citation._current_string&gt;&lt;citation._full_string&gt;17 U.S.C.S. §101 (Law. Co-op. 1978)&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S. §101 &lt;/citation.value3&gt;&lt;citation.key4&gt;USCCodeCitation.USCTitleAndCode&lt;/citation.key4&gt;&lt;citation.value4&gt;17 U.S.C.S. &lt;/citation.value4&gt;&lt;citation.key5&gt;USCCodeCitation.USCTitleAndCode.USCS&lt;/citation.key5&gt;&lt;citation.value5&gt;U.S.C.S.&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Law. Co-op. 1978)&lt;/citation.value19&gt;&lt;citation.key20&gt;__AfterStatutoryCite.StatutoryCodeEditionCite&lt;/citation.key20&gt;&lt;citation.value20&gt; (Law. Co-op. 1978)&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Law. Co-op. 1978 &lt;/citation.value23&gt;&lt;citation.key24&gt;__AfterStatutoryCite.StatutoryCodeEditionCite.StatutoryCodeEdition.Publisher&lt;/citation.key24&gt;&lt;citation.value24&gt;Law. Co-op.&lt;/citation.value24&gt;&lt;citation.key25&gt;__AfterStatutoryCite.StatutoryCodeEditionCite.StatutoryCodeEdition.Year&lt;/citation.key25&gt;&lt;citation.value25&gt;1978 &lt;/citation.value25&gt;&lt;citation.key26&gt;__AfterStatutoryCite.StatutoryCodeEditionCite.StatutoryCodeEdition.Year.Year&lt;/citation.key26&gt;&lt;citation.value26&gt;1978&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90[0]" w:val="&lt;#1&gt;&lt;citation&gt;&lt;citation._original_string&gt;Gonzales v. Oregon, 546 U.S. 243, 273-274&lt;/citation._original_string&gt;&lt;citation._current_string&gt;Gonzales v. Oregon, 546 U.S. 243, 273-74 (2006)&lt;/citation._current_string&gt;&lt;citation._full_string&gt;Gonzales v. Oregon, 546 U.S. 243, 273-74 (2006)&lt;/citation._full_string&gt;&lt;citation._current_format&gt;Full.CaseCitation&lt;/citation._current_format&gt;&lt;citation.name&gt;&lt;/citation.name&gt;&lt;citation.key0&gt;,&lt;/citation.key0&gt;&lt;citation.value0&gt;,&lt;/citation.value0&gt;&lt;citation.key1&gt;CaseName.FirstParty.Party&lt;/citation.key1&gt;&lt;citation.value1&gt;Gonzales&lt;/citation.value1&gt;&lt;citation.key2&gt;CaseName.FirstParty._Pattern&lt;/citation.key2&gt;&lt;citation.value2&gt;Party.Party&lt;/citation.value2&gt;&lt;citation.key3&gt;CaseName.SecondParty.Party&lt;/citation.key3&gt;&lt;citation.value3&gt;Oregon&lt;/citation.value3&gt;&lt;citation.key4&gt;CaseName.SecondParty._Pattern&lt;/citation.key4&gt;&lt;citation.value4&gt;Party.Party&lt;/citation.value4&gt;&lt;citation.key5&gt;CourtParenthetical&lt;/citation.key5&gt;&lt;citation.value5&gt; (2006) &lt;/citation.value5&gt;&lt;citation.key6&gt;CourtParenthetical.Date.Year.Year&lt;/citation.key6&gt;&lt;citation.value6&gt;2006&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_Pattern&lt;/citation.key9&gt;&lt;citation.value9&gt;CourtParenthetical.CourtParenthetical&lt;/citation.value9&gt;&lt;citation.key10&gt;FirstParty&lt;/citation.key10&gt;&lt;citation.value10&gt;Gonzales &lt;/citation.value10&gt;&lt;citation.key11&gt;Id&lt;/citation.key11&gt;&lt;citation.value11&gt;Id. &lt;/citation.value11&gt;&lt;citation.key12&gt;Id.Id&lt;/citation.key12&gt;&lt;citation.value12&gt;Id.&lt;/citation.value12&gt;&lt;citation.key13&gt;Id._Pattern&lt;/citation.key13&gt;&lt;citation.value13&gt;IdGraph.IdGraph&lt;/citation.value13&gt;&lt;citation.key14&gt;NY L Paren&lt;/citation.key14&gt;&lt;citation.value14&gt;(&lt;/citation.value14&gt;&lt;citation.key15&gt;NY R Paren&lt;/citation.key15&gt;&lt;citation.value15&gt;)&lt;/citation.value15&gt;&lt;citation.key16&gt;Reporter&lt;/citation.key16&gt;&lt;citation.value16&gt;546 U.S. 243, 273-74 &lt;/citation.value16&gt;&lt;citation.key17&gt;Reporter.FirstPage&lt;/citation.key17&gt;&lt;citation.value17&gt;243&lt;/citation.value17&gt;&lt;citation.key18&gt;Reporter.Name&lt;/citation.key18&gt;&lt;citation.value18&gt;U.S.&lt;/citation.value18&gt;&lt;citation.key19&gt;Reporter.RequiredComma&lt;/citation.key19&gt;&lt;citation.value19&gt;, &lt;/citation.value19&gt;&lt;citation.key20&gt;Reporter.RequiredComma.Comma&lt;/citation.key20&gt;&lt;citation.value20&gt;,&lt;/citation.value20&gt;&lt;citation.key21&gt;Reporter.RequiredComma._Pattern&lt;/citation.key21&gt;&lt;citation.value21&gt;RequiredComma.RequiredComma&lt;/citation.value21&gt;&lt;citation.key22&gt;Reporter.Volume&lt;/citation.key22&gt;&lt;citation.value22&gt;546&lt;/citation.value22&gt;&lt;citation.key23&gt;Reporter.[&lt;/citation.key23&gt;&lt;citation.value23&gt;[&lt;/citation.value23&gt;&lt;citation.key24&gt;Reporter.]&lt;/citation.key24&gt;&lt;citation.value24&gt;]&lt;/citation.value24&gt;&lt;citation.key25&gt;Reporter._Pattern&lt;/citation.key25&gt;&lt;citation.value25&gt;Reporter.Reporter&lt;/citation.value25&gt;&lt;citation.key26&gt;Reporter.__PinPages&lt;/citation.key26&gt;&lt;citation.value26&gt;273-74 &lt;/citation.value26&gt;&lt;citation.key27&gt;Reporter.__PinPages.First&lt;/citation.key27&gt;&lt;citation.value27&gt;273&lt;/citation.value27&gt;&lt;citation.key28&gt;Reporter.__PinPages.First._Pattern&lt;/citation.key28&gt;&lt;citation.value28&gt;FirstPageInRange.FirstPageInRange&lt;/citation.value28&gt;&lt;citation.key29&gt;Reporter.__PinPages.First.__PageNumber&lt;/citation.key29&gt;&lt;citation.value29&gt;273&lt;/citation.value29&gt;&lt;citation.key30&gt;Reporter.__PinPages.Last&lt;/citation.key30&gt;&lt;citation.value30&gt;74 &lt;/citation.value30&gt;&lt;citation.key31&gt;Reporter.__PinPages.Last.PageNumber&lt;/citation.key31&gt;&lt;citation.value31&gt;74&lt;/citation.value31&gt;&lt;citation.key32&gt;Reporter.__PinPages.Last.PageNumber_Full&lt;/citation.key32&gt;&lt;citation.value32&gt;274&lt;/citation.value32&gt;&lt;citation.key33&gt;Reporter.__PinPages.Last._Pattern&lt;/citation.key33&gt;&lt;citation.value33&gt;LastPageNumber.LastPageNumber&lt;/citation.value33&gt;&lt;citation.key34&gt;Reporter.__PinPages.RangeDash&lt;/citation.key34&gt;&lt;citation.value34&gt;-&lt;/citation.value34&gt;&lt;citation.key35&gt;Reporter.__PinPages._Pattern&lt;/citation.key35&gt;&lt;citation.value35&gt;PinPages.PinPages&lt;/citation.value35&gt;&lt;citation.key36&gt;Reporter.page&lt;/citation.key36&gt;&lt;citation.value36&gt;pages&lt;/citation.value36&gt;&lt;citation.key37&gt;RequiredComma&lt;/citation.key37&gt;&lt;citation.value37&gt;, &lt;/citation.value37&gt;&lt;citation.key38&gt;RequiredComma._Pattern&lt;/citation.key38&gt;&lt;citation.value38&gt;RequiredComma.RequiredComma&lt;/citation.value38&gt;&lt;citation.key39&gt;SecondParty&lt;/citation.key39&gt;&lt;citation.value39&gt;Oregon &lt;/citation.value39&gt;&lt;citation.key40&gt;supra&lt;/citation.key40&gt;&lt;citation.value40&gt;&lt;/citation.value40&gt;&lt;citation.key41&gt;supra.,&lt;/citation.key41&gt;&lt;citation.value41&gt;, &lt;/citation.value41&gt;&lt;citation.key42&gt;supra._Pattern&lt;/citation.key42&gt;&lt;citation.value42&gt;ShortCaseSupra.ShortCaseSupra&lt;/citation.value42&gt;&lt;citation.key43&gt;supra.supra&lt;/citation.key43&gt;&lt;citation.value43&gt;supra&lt;/citation.value43&gt;&lt;citation.key44&gt;v&lt;/citation.key44&gt;&lt;citation.value44&gt;v.&lt;/citation.value44&gt;&lt;/citation&gt;_x000a_"/>
    <w:docVar w:name="CITRUS_BOOKMARK91[0]" w:val="&lt;#1&gt;&lt;citation&gt;&lt;citation._original_string&gt;Massachusetts v. Morash, 490 U.S. 107, 115 (1989)&lt;/citation._original_string&gt;&lt;citation._current_string&gt;Massachusetts v. Morash, 490 U.S. 107, 115 (1989)&lt;/citation._current_string&gt;&lt;citation._full_string&gt;Massachusetts v. Morash, 490 U.S. 107, 115 (1989)&lt;/citation._full_string&gt;&lt;citation._current_format&gt;Full.CaseCitation&lt;/citation._current_format&gt;&lt;citation.name&gt;&lt;/citation.name&gt;&lt;citation.key0&gt;,&lt;/citation.key0&gt;&lt;citation.value0&gt;,&lt;/citation.value0&gt;&lt;citation.key1&gt;CaseName.FirstParty.Party&lt;/citation.key1&gt;&lt;citation.value1&gt;Massachusetts&lt;/citation.value1&gt;&lt;citation.key2&gt;CaseName.FirstParty._Pattern&lt;/citation.key2&gt;&lt;citation.value2&gt;Party.Party&lt;/citation.value2&gt;&lt;citation.key3&gt;CaseName.SecondParty.Party&lt;/citation.key3&gt;&lt;citation.value3&gt;Morash&lt;/citation.value3&gt;&lt;citation.key4&gt;CaseName.SecondParty._Pattern&lt;/citation.key4&gt;&lt;citation.value4&gt;Party.Party&lt;/citation.value4&gt;&lt;citation.key5&gt;CourtParenthetical&lt;/citation.key5&gt;&lt;citation.value5&gt; (1989) &lt;/citation.value5&gt;&lt;citation.key6&gt;CourtParenthetical.Date.Year.Year&lt;/citation.key6&gt;&lt;citation.value6&gt;1989&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Massachusetts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490 U.S. 107, 115&lt;/citation.value23&gt;&lt;citation.key24&gt;Reporter.FirstPage&lt;/citation.key24&gt;&lt;citation.value24&gt;107&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490&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115&lt;/citation.value33&gt;&lt;citation.key34&gt;Reporter.__PinPages.First&lt;/citation.key34&gt;&lt;citation.value34&gt;115&lt;/citation.value34&gt;&lt;citation.key35&gt;Reporter.__PinPages.First._Pattern&lt;/citation.key35&gt;&lt;citation.value35&gt;FirstPageInRange.FirstPageInRange&lt;/citation.value35&gt;&lt;citation.key36&gt;Reporter.__PinPages.First.__PageNumber&lt;/citation.key36&gt;&lt;citation.value36&gt;115&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Morash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95[0]" w:val="&lt;#1&gt;&lt;citation&gt;&lt;citation._original_string&gt;Chevron U.S.A. v. Echazabal, 536 U.S. 73, 80-81&lt;/citation._original_string&gt;&lt;citation._current_string&gt;Chevron U.S.A. Inc. v. Echazabal, 536 U.S. 73, 80-81 (2002)&lt;/citation._current_string&gt;&lt;citation._full_string&gt;Chevron U.S.A. Inc. v. Echazabal, 536 U.S. 73, 80-81 (2002)&lt;/citation._full_string&gt;&lt;citation._current_format&gt;Full.CaseCitation&lt;/citation._current_format&gt;&lt;citation.name&gt;&lt;/citation.name&gt;&lt;citation.key0&gt;,&lt;/citation.key0&gt;&lt;citation.value0&gt;,&lt;/citation.value0&gt;&lt;citation.key1&gt;CaseName.FirstParty.Party&lt;/citation.key1&gt;&lt;citation.value1&gt;Chevron U.S.A. Inc.&lt;/citation.value1&gt;&lt;citation.key2&gt;CaseName.FirstParty._Pattern&lt;/citation.key2&gt;&lt;citation.value2&gt;Party.Party&lt;/citation.value2&gt;&lt;citation.key3&gt;CaseName.SecondParty.Party&lt;/citation.key3&gt;&lt;citation.value3&gt;Echazabal&lt;/citation.value3&gt;&lt;citation.key4&gt;CaseName.SecondParty._Pattern&lt;/citation.key4&gt;&lt;citation.value4&gt;Party.Party&lt;/citation.value4&gt;&lt;citation.key5&gt;CourtParenthetical&lt;/citation.key5&gt;&lt;citation.value5&gt; (2002) &lt;/citation.value5&gt;&lt;citation.key6&gt;CourtParenthetical.Date.Year.Year&lt;/citation.key6&gt;&lt;citation.value6&gt;2002&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_Pattern&lt;/citation.key9&gt;&lt;citation.value9&gt;CourtParenthetical.CourtParenthetical&lt;/citation.value9&gt;&lt;citation.key10&gt;FirstParty&lt;/citation.key10&gt;&lt;citation.value10&gt;Chevron U.S.A. Inc. &lt;/citation.value10&gt;&lt;citation.key11&gt;Id&lt;/citation.key11&gt;&lt;citation.value11&gt;Id. &lt;/citation.value11&gt;&lt;citation.key12&gt;Id.Id&lt;/citation.key12&gt;&lt;citation.value12&gt;Id.&lt;/citation.value12&gt;&lt;citation.key13&gt;Id._Pattern&lt;/citation.key13&gt;&lt;citation.value13&gt;IdGraph.IdGraph&lt;/citation.value13&gt;&lt;citation.key14&gt;NY L Paren&lt;/citation.key14&gt;&lt;citation.value14&gt;(&lt;/citation.value14&gt;&lt;citation.key15&gt;NY R Paren&lt;/citation.key15&gt;&lt;citation.value15&gt;)&lt;/citation.value15&gt;&lt;citation.key16&gt;Reporter&lt;/citation.key16&gt;&lt;citation.value16&gt;536 U.S. 73, 80-81 &lt;/citation.value16&gt;&lt;citation.key17&gt;Reporter.FirstPage&lt;/citation.key17&gt;&lt;citation.value17&gt;73&lt;/citation.value17&gt;&lt;citation.key18&gt;Reporter.Name&lt;/citation.key18&gt;&lt;citation.value18&gt;U.S.&lt;/citation.value18&gt;&lt;citation.key19&gt;Reporter.RequiredComma&lt;/citation.key19&gt;&lt;citation.value19&gt;, &lt;/citation.value19&gt;&lt;citation.key20&gt;Reporter.RequiredComma.Comma&lt;/citation.key20&gt;&lt;citation.value20&gt;,&lt;/citation.value20&gt;&lt;citation.key21&gt;Reporter.RequiredComma._Pattern&lt;/citation.key21&gt;&lt;citation.value21&gt;RequiredComma.RequiredComma&lt;/citation.value21&gt;&lt;citation.key22&gt;Reporter.Volume&lt;/citation.key22&gt;&lt;citation.value22&gt;536&lt;/citation.value22&gt;&lt;citation.key23&gt;Reporter.[&lt;/citation.key23&gt;&lt;citation.value23&gt;[&lt;/citation.value23&gt;&lt;citation.key24&gt;Reporter.]&lt;/citation.key24&gt;&lt;citation.value24&gt;]&lt;/citation.value24&gt;&lt;citation.key25&gt;Reporter._Pattern&lt;/citation.key25&gt;&lt;citation.value25&gt;Reporter.Reporter&lt;/citation.value25&gt;&lt;citation.key26&gt;Reporter.__PinPages&lt;/citation.key26&gt;&lt;citation.value26&gt;80-81 &lt;/citation.value26&gt;&lt;citation.key27&gt;Reporter.__PinPages.First&lt;/citation.key27&gt;&lt;citation.value27&gt;80&lt;/citation.value27&gt;&lt;citation.key28&gt;Reporter.__PinPages.First._Pattern&lt;/citation.key28&gt;&lt;citation.value28&gt;FirstPageInRange.FirstPageInRange&lt;/citation.value28&gt;&lt;citation.key29&gt;Reporter.__PinPages.First.__PageNumber&lt;/citation.key29&gt;&lt;citation.value29&gt;80&lt;/citation.value29&gt;&lt;citation.key30&gt;Reporter.__PinPages.Last&lt;/citation.key30&gt;&lt;citation.value30&gt;81 &lt;/citation.value30&gt;&lt;citation.key31&gt;Reporter.__PinPages.Last.PageNumber&lt;/citation.key31&gt;&lt;citation.value31&gt;81&lt;/citation.value31&gt;&lt;citation.key32&gt;Reporter.__PinPages.Last.PageNumber_Full&lt;/citation.key32&gt;&lt;citation.value32&gt;81&lt;/citation.value32&gt;&lt;citation.key33&gt;Reporter.__PinPages.Last._Pattern&lt;/citation.key33&gt;&lt;citation.value33&gt;LastPageNumber.LastPageNumber&lt;/citation.value33&gt;&lt;citation.key34&gt;Reporter.__PinPages.RangeDash&lt;/citation.key34&gt;&lt;citation.value34&gt;-&lt;/citation.value34&gt;&lt;citation.key35&gt;Reporter.__PinPages._Pattern&lt;/citation.key35&gt;&lt;citation.value35&gt;PinPages.PinPages&lt;/citation.value35&gt;&lt;citation.key36&gt;Reporter.page&lt;/citation.key36&gt;&lt;citation.value36&gt;pages&lt;/citation.value36&gt;&lt;citation.key37&gt;RequiredComma&lt;/citation.key37&gt;&lt;citation.value37&gt;, &lt;/citation.value37&gt;&lt;citation.key38&gt;RequiredComma._Pattern&lt;/citation.key38&gt;&lt;citation.value38&gt;RequiredComma.RequiredComma&lt;/citation.value38&gt;&lt;citation.key39&gt;SecondParty&lt;/citation.key39&gt;&lt;citation.value39&gt;Echazabal &lt;/citation.value39&gt;&lt;citation.key40&gt;supra&lt;/citation.key40&gt;&lt;citation.value40&gt;&lt;/citation.value40&gt;&lt;citation.key41&gt;supra.,&lt;/citation.key41&gt;&lt;citation.value41&gt;, &lt;/citation.value41&gt;&lt;citation.key42&gt;supra._Pattern&lt;/citation.key42&gt;&lt;citation.value42&gt;ShortCaseSupra.ShortCaseSupra&lt;/citation.value42&gt;&lt;citation.key43&gt;supra.supra&lt;/citation.key43&gt;&lt;citation.value43&gt;supra&lt;/citation.value43&gt;&lt;citation.key44&gt;v&lt;/citation.key44&gt;&lt;citation.value44&gt;v.&lt;/citation.value44&gt;&lt;/citation&gt;_x000a_"/>
    <w:docVar w:name="CITRUS_BOOKMARK96[0]" w:val="&lt;#1&gt;&lt;citation&gt;&lt;citation._original_string&gt;NCUA v. First Nat'l Bank &amp; Trust Co., 522 U.S. 479, 501&lt;/citation._original_string&gt;&lt;citation._current_string&gt;Nat'l Credit Union Admin. v. First Nat'l Bank &amp; Trust Co., 522 U.S. 479, 501 (1998)&lt;/citation._current_string&gt;&lt;citation._full_string&gt;Nat'l Credit Union Admin. v. First Nat'l Bank &amp; Trust Co., 522 U.S. 479, 501 (1998)&lt;/citation._full_string&gt;&lt;citation._current_format&gt;Full.CaseCitation&lt;/citation._current_format&gt;&lt;citation.name&gt;&lt;/citation.name&gt;&lt;citation.key0&gt;,&lt;/citation.key0&gt;&lt;citation.value0&gt;,&lt;/citation.value0&gt;&lt;citation.key1&gt;CaseName.FirstParty.Party&lt;/citation.key1&gt;&lt;citation.value1&gt;National Credit Union Administration&lt;/citation.value1&gt;&lt;citation.key2&gt;CaseName.FirstParty._Pattern&lt;/citation.key2&gt;&lt;citation.value2&gt;Party.Party&lt;/citation.value2&gt;&lt;citation.key3&gt;CaseName.SecondParty.Party&lt;/citation.key3&gt;&lt;citation.value3&gt;First National Bank &amp; Trust Co.&lt;/citation.value3&gt;&lt;citation.key4&gt;CaseName.SecondParty._Pattern&lt;/citation.key4&gt;&lt;citation.value4&gt;Party.Party&lt;/citation.value4&gt;&lt;citation.key5&gt;CourtParenthetical&lt;/citation.key5&gt;&lt;citation.value5&gt; (1998) &lt;/citation.value5&gt;&lt;citation.key6&gt;CourtParenthetical.Date.Year.Year&lt;/citation.key6&gt;&lt;citation.value6&gt;1998&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_Pattern&lt;/citation.key9&gt;&lt;citation.value9&gt;CourtParenthetical.CourtParenthetical&lt;/citation.value9&gt;&lt;citation.key10&gt;FirstParty&lt;/citation.key10&gt;&lt;citation.value10&gt;Nat'l Credit Union Admin. &lt;/citation.value10&gt;&lt;citation.key11&gt;Id&lt;/citation.key11&gt;&lt;citation.value11&gt;Id. &lt;/citation.value11&gt;&lt;citation.key12&gt;Id.Id&lt;/citation.key12&gt;&lt;citation.value12&gt;Id.&lt;/citation.value12&gt;&lt;citation.key13&gt;Id._Pattern&lt;/citation.key13&gt;&lt;citation.value13&gt;IdGraph.IdGraph&lt;/citation.value13&gt;&lt;citation.key14&gt;NY L Paren&lt;/citation.key14&gt;&lt;citation.value14&gt;(&lt;/citation.value14&gt;&lt;citation.key15&gt;NY R Paren&lt;/citation.key15&gt;&lt;citation.value15&gt;)&lt;/citation.value15&gt;&lt;citation.key16&gt;Reporter&lt;/citation.key16&gt;&lt;citation.value16&gt;522 U.S. 479, 501&lt;/citation.value16&gt;&lt;citation.key17&gt;Reporter.FirstPage&lt;/citation.key17&gt;&lt;citation.value17&gt;479&lt;/citation.value17&gt;&lt;citation.key18&gt;Reporter.Name&lt;/citation.key18&gt;&lt;citation.value18&gt;U.S.&lt;/citation.value18&gt;&lt;citation.key19&gt;Reporter.RequiredComma&lt;/citation.key19&gt;&lt;citation.value19&gt;, &lt;/citation.value19&gt;&lt;citation.key20&gt;Reporter.RequiredComma.Comma&lt;/citation.key20&gt;&lt;citation.value20&gt;,&lt;/citation.value20&gt;&lt;citation.key21&gt;Reporter.RequiredComma._Pattern&lt;/citation.key21&gt;&lt;citation.value21&gt;RequiredComma.RequiredComma&lt;/citation.value21&gt;&lt;citation.key22&gt;Reporter.Volume&lt;/citation.key22&gt;&lt;citation.value22&gt;522&lt;/citation.value22&gt;&lt;citation.key23&gt;Reporter.[&lt;/citation.key23&gt;&lt;citation.value23&gt;[&lt;/citation.value23&gt;&lt;citation.key24&gt;Reporter.]&lt;/citation.key24&gt;&lt;citation.value24&gt;]&lt;/citation.value24&gt;&lt;citation.key25&gt;Reporter._Pattern&lt;/citation.key25&gt;&lt;citation.value25&gt;Reporter.Reporter&lt;/citation.value25&gt;&lt;citation.key26&gt;Reporter.__PinPages&lt;/citation.key26&gt;&lt;citation.value26&gt;501&lt;/citation.value26&gt;&lt;citation.key27&gt;Reporter.__PinPages.First&lt;/citation.key27&gt;&lt;citation.value27&gt;501&lt;/citation.value27&gt;&lt;citation.key28&gt;Reporter.__PinPages.First._Pattern&lt;/citation.key28&gt;&lt;citation.value28&gt;FirstPageInRange.FirstPageInRange&lt;/citation.value28&gt;&lt;citation.key29&gt;Reporter.__PinPages.First.__PageNumber&lt;/citation.key29&gt;&lt;citation.value29&gt;501&lt;/citation.value29&gt;&lt;citation.key30&gt;Reporter.__PinPages._Pattern&lt;/citation.key30&gt;&lt;citation.value30&gt;PinPages.PinPages&lt;/citation.value30&gt;&lt;citation.key31&gt;Reporter.page&lt;/citation.key31&gt;&lt;citation.value31&gt;page&lt;/citation.value31&gt;&lt;citation.key32&gt;RequiredComma&lt;/citation.key32&gt;&lt;citation.value32&gt;, &lt;/citation.value32&gt;&lt;citation.key33&gt;RequiredComma._Pattern&lt;/citation.key33&gt;&lt;citation.value33&gt;RequiredComma.RequiredComma&lt;/citation.value33&gt;&lt;citation.key34&gt;SecondParty&lt;/citation.key34&gt;&lt;citation.value34&gt;First Nat'l Bank &amp; Trust Co. &lt;/citation.value34&gt;&lt;citation.key35&gt;supra&lt;/citation.key35&gt;&lt;citation.value35&gt;&lt;/citation.value35&gt;&lt;citation.key36&gt;supra.,&lt;/citation.key36&gt;&lt;citation.value36&gt;, &lt;/citation.value36&gt;&lt;citation.key37&gt;supra._Pattern&lt;/citation.key37&gt;&lt;citation.value37&gt;ShortCaseSupra.ShortCaseSupra&lt;/citation.value37&gt;&lt;citation.key38&gt;supra.supra&lt;/citation.key38&gt;&lt;citation.value38&gt;supra&lt;/citation.value38&gt;&lt;citation.key39&gt;v&lt;/citation.key39&gt;&lt;citation.value39&gt;v.&lt;/citation.value39&gt;&lt;/citation&gt;_x000a_"/>
    <w:docVar w:name="CITRUS_BOOKMARK99[0]" w:val="&lt;#1&gt;&lt;citation&gt;&lt;citation._original_string&gt;See Rubin v. United States, 449 U.S. 424, 431&lt;/citation._original_string&gt;&lt;citation._current_string&gt;ree Rubin v. United States, 449 U.S. 424, 431 (1981)&lt;/citation._current_string&gt;&lt;citation._full_string&gt;see Rubin v. United States, 449 U.S. 424, 431 (1981)&lt;/citation._full_string&gt;&lt;citation._current_format&gt;Full.CaseCitation&lt;/citation._current_format&gt;&lt;citation.name&gt;&lt;/citation.name&gt;&lt;citation.key0&gt;,&lt;/citation.key0&gt;&lt;citation.value0&gt;,&lt;/citation.value0&gt;&lt;citation.key1&gt;CaseName.FirstParty.Party&lt;/citation.key1&gt;&lt;citation.value1&gt;Rubin&lt;/citation.value1&gt;&lt;citation.key2&gt;CaseName.FirstParty._Pattern&lt;/citation.key2&gt;&lt;citation.value2&gt;Party.Party&lt;/citation.value2&gt;&lt;citation.key3&gt;CaseName.SecondParty.Party&lt;/citation.key3&gt;&lt;citation.value3&gt;United States&lt;/citation.value3&gt;&lt;citation.key4&gt;CaseName.SecondParty._Pattern&lt;/citation.key4&gt;&lt;citation.value4&gt;Party.Party&lt;/citation.value4&gt;&lt;citation.key5&gt;CourtParenthetical&lt;/citation.key5&gt;&lt;citation.value5&gt; (1981) &lt;/citation.value5&gt;&lt;citation.key6&gt;CourtParenthetical.Date.Year.Year&lt;/citation.key6&gt;&lt;citation.value6&gt;1981&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_Pattern&lt;/citation.key9&gt;&lt;citation.value9&gt;CourtParenthetical.CourtParenthetical&lt;/citation.value9&gt;&lt;citation.key10&gt;FirstParty&lt;/citation.key10&gt;&lt;citation.value10&gt;Rubin &lt;/citation.value10&gt;&lt;citation.key11&gt;Id&lt;/citation.key11&gt;&lt;citation.value11&gt;Id. &lt;/citation.value11&gt;&lt;citation.key12&gt;Id.Id&lt;/citation.key12&gt;&lt;citation.value12&gt;Id.&lt;/citation.value12&gt;&lt;citation.key13&gt;Id._Pattern&lt;/citation.key13&gt;&lt;citation.value13&gt;IdGraph.IdGraph&lt;/citation.value13&gt;&lt;citation.key14&gt;NY L Paren&lt;/citation.key14&gt;&lt;citation.value14&gt;(&lt;/citation.value14&gt;&lt;citation.key15&gt;NY R Paren&lt;/citation.key15&gt;&lt;citation.value15&gt;)&lt;/citation.value15&gt;&lt;citation.key16&gt;Reporter&lt;/citation.key16&gt;&lt;citation.value16&gt;449 U.S. 424, 431&lt;/citation.value16&gt;&lt;citation.key17&gt;Reporter.FirstPage&lt;/citation.key17&gt;&lt;citation.value17&gt;424&lt;/citation.value17&gt;&lt;citation.key18&gt;Reporter.Name&lt;/citation.key18&gt;&lt;citation.value18&gt;U.S.&lt;/citation.value18&gt;&lt;citation.key19&gt;Reporter.RequiredComma&lt;/citation.key19&gt;&lt;citation.value19&gt;, &lt;/citation.value19&gt;&lt;citation.key20&gt;Reporter.RequiredComma.Comma&lt;/citation.key20&gt;&lt;citation.value20&gt;,&lt;/citation.value20&gt;&lt;citation.key21&gt;Reporter.RequiredComma._Pattern&lt;/citation.key21&gt;&lt;citation.value21&gt;RequiredComma.RequiredComma&lt;/citation.value21&gt;&lt;citation.key22&gt;Reporter.Volume&lt;/citation.key22&gt;&lt;citation.value22&gt;449&lt;/citation.value22&gt;&lt;citation.key23&gt;Reporter.[&lt;/citation.key23&gt;&lt;citation.value23&gt;[&lt;/citation.value23&gt;&lt;citation.key24&gt;Reporter.]&lt;/citation.key24&gt;&lt;citation.value24&gt;]&lt;/citation.value24&gt;&lt;citation.key25&gt;Reporter._Pattern&lt;/citation.key25&gt;&lt;citation.value25&gt;Reporter.Reporter&lt;/citation.value25&gt;&lt;citation.key26&gt;Reporter.__PinPages&lt;/citation.key26&gt;&lt;citation.value26&gt;431&lt;/citation.value26&gt;&lt;citation.key27&gt;Reporter.__PinPages.First&lt;/citation.key27&gt;&lt;citation.value27&gt;431&lt;/citation.value27&gt;&lt;citation.key28&gt;Reporter.__PinPages.First._Pattern&lt;/citation.key28&gt;&lt;citation.value28&gt;FirstPageInRange.FirstPageInRange&lt;/citation.value28&gt;&lt;citation.key29&gt;Reporter.__PinPages.First.__PageNumber&lt;/citation.key29&gt;&lt;citation.value29&gt;431&lt;/citation.value29&gt;&lt;citation.key30&gt;Reporter.__PinPages._Pattern&lt;/citation.key30&gt;&lt;citation.value30&gt;PinPages.PinPages&lt;/citation.value30&gt;&lt;citation.key31&gt;Reporter.page&lt;/citation.key31&gt;&lt;citation.value31&gt;page&lt;/citation.value31&gt;&lt;citation.key32&gt;RequiredComma&lt;/citation.key32&gt;&lt;citation.value32&gt;, &lt;/citation.value32&gt;&lt;citation.key33&gt;RequiredComma._Pattern&lt;/citation.key33&gt;&lt;citation.value33&gt;RequiredComma.RequiredComma&lt;/citation.value33&gt;&lt;citation.key34&gt;SecondParty&lt;/citation.key34&gt;&lt;citation.value34&gt;United States &lt;/citation.value34&gt;&lt;citation.key35&gt;__Signal&lt;/citation.key35&gt;&lt;citation.value35&gt;see &lt;/citation.value35&gt;&lt;citation.key36&gt;__Signal.ForbiddenComma._Pattern&lt;/citation.key36&gt;&lt;citation.value36&gt;ForbiddenComma.ForbiddenComma&lt;/citation.value36&gt;&lt;citation.key37&gt;__Signal.See&lt;/citation.key37&gt;&lt;citation.value37&gt;see&lt;/citation.value37&gt;&lt;citation.key38&gt;__Signal._Pattern&lt;/citation.key38&gt;&lt;citation.value38&gt;Signal.Signal&lt;/citation.value38&gt;&lt;citation.key39&gt;supra&lt;/citation.key39&gt;&lt;citation.value39&gt;&lt;/citation.value39&gt;&lt;citation.key40&gt;supra.,&lt;/citation.key40&gt;&lt;citation.value40&gt;, &lt;/citation.value40&gt;&lt;citation.key41&gt;supra._Pattern&lt;/citation.key41&gt;&lt;citation.value41&gt;ShortCaseSupra.ShortCaseSupra&lt;/citation.value41&gt;&lt;citation.key42&gt;supra.supra&lt;/citation.key42&gt;&lt;citation.value42&gt;supra&lt;/citation.value42&gt;&lt;citation.key43&gt;v&lt;/citation.key43&gt;&lt;citation.value43&gt;v.&lt;/citation.value43&gt;&lt;/citation&gt;_x000a_"/>
  </w:docVars>
  <w:rsids>
    <w:rsidRoot w:val="00033D3F"/>
    <w:rsid w:val="00013D32"/>
    <w:rsid w:val="00015758"/>
    <w:rsid w:val="00022884"/>
    <w:rsid w:val="00033D3F"/>
    <w:rsid w:val="000404A4"/>
    <w:rsid w:val="0004516F"/>
    <w:rsid w:val="00045D2D"/>
    <w:rsid w:val="00053BE8"/>
    <w:rsid w:val="000606E3"/>
    <w:rsid w:val="000661D6"/>
    <w:rsid w:val="00071828"/>
    <w:rsid w:val="00096012"/>
    <w:rsid w:val="000A75CB"/>
    <w:rsid w:val="000B2397"/>
    <w:rsid w:val="000C53F9"/>
    <w:rsid w:val="000E23DC"/>
    <w:rsid w:val="000F394F"/>
    <w:rsid w:val="0014214E"/>
    <w:rsid w:val="00144B5A"/>
    <w:rsid w:val="0016029B"/>
    <w:rsid w:val="0016404F"/>
    <w:rsid w:val="00183607"/>
    <w:rsid w:val="00184F25"/>
    <w:rsid w:val="001A6F42"/>
    <w:rsid w:val="001C6CF0"/>
    <w:rsid w:val="002126C3"/>
    <w:rsid w:val="00221B2A"/>
    <w:rsid w:val="00240757"/>
    <w:rsid w:val="002700C5"/>
    <w:rsid w:val="00272F56"/>
    <w:rsid w:val="00277213"/>
    <w:rsid w:val="00277397"/>
    <w:rsid w:val="0028034C"/>
    <w:rsid w:val="00285AE2"/>
    <w:rsid w:val="002941C7"/>
    <w:rsid w:val="002951A6"/>
    <w:rsid w:val="002A1AE5"/>
    <w:rsid w:val="002B10B9"/>
    <w:rsid w:val="002B6136"/>
    <w:rsid w:val="002C68AD"/>
    <w:rsid w:val="002D1831"/>
    <w:rsid w:val="002D7D44"/>
    <w:rsid w:val="002E2523"/>
    <w:rsid w:val="003016B2"/>
    <w:rsid w:val="00312AC6"/>
    <w:rsid w:val="0033126B"/>
    <w:rsid w:val="003407B6"/>
    <w:rsid w:val="003415FF"/>
    <w:rsid w:val="00362D81"/>
    <w:rsid w:val="00372092"/>
    <w:rsid w:val="003A3F4F"/>
    <w:rsid w:val="003B21D8"/>
    <w:rsid w:val="003B2E7E"/>
    <w:rsid w:val="003B3CA4"/>
    <w:rsid w:val="003D2D8F"/>
    <w:rsid w:val="003F736D"/>
    <w:rsid w:val="00400ED0"/>
    <w:rsid w:val="00400EEE"/>
    <w:rsid w:val="00404002"/>
    <w:rsid w:val="004121F3"/>
    <w:rsid w:val="00424B72"/>
    <w:rsid w:val="004414F2"/>
    <w:rsid w:val="00447501"/>
    <w:rsid w:val="0045263E"/>
    <w:rsid w:val="0045331D"/>
    <w:rsid w:val="00463D8C"/>
    <w:rsid w:val="00466F86"/>
    <w:rsid w:val="004907AF"/>
    <w:rsid w:val="00490A4C"/>
    <w:rsid w:val="00496897"/>
    <w:rsid w:val="004A4890"/>
    <w:rsid w:val="004B11F7"/>
    <w:rsid w:val="004C7616"/>
    <w:rsid w:val="004E3038"/>
    <w:rsid w:val="0053315A"/>
    <w:rsid w:val="0053682B"/>
    <w:rsid w:val="005503B8"/>
    <w:rsid w:val="00553B68"/>
    <w:rsid w:val="00555C44"/>
    <w:rsid w:val="00555C4C"/>
    <w:rsid w:val="00571327"/>
    <w:rsid w:val="0057534F"/>
    <w:rsid w:val="005825BB"/>
    <w:rsid w:val="00585208"/>
    <w:rsid w:val="00586255"/>
    <w:rsid w:val="005A08EE"/>
    <w:rsid w:val="005C6094"/>
    <w:rsid w:val="005F3A47"/>
    <w:rsid w:val="005F7F3B"/>
    <w:rsid w:val="00603624"/>
    <w:rsid w:val="00603DEB"/>
    <w:rsid w:val="0060763C"/>
    <w:rsid w:val="00610AF5"/>
    <w:rsid w:val="00620A27"/>
    <w:rsid w:val="0062422C"/>
    <w:rsid w:val="00624F95"/>
    <w:rsid w:val="0066424B"/>
    <w:rsid w:val="006B075E"/>
    <w:rsid w:val="006B1815"/>
    <w:rsid w:val="006E01B8"/>
    <w:rsid w:val="006E3890"/>
    <w:rsid w:val="006F78A4"/>
    <w:rsid w:val="006F7CF2"/>
    <w:rsid w:val="00701E30"/>
    <w:rsid w:val="00702337"/>
    <w:rsid w:val="00711758"/>
    <w:rsid w:val="00711BC9"/>
    <w:rsid w:val="00720FFE"/>
    <w:rsid w:val="0072217F"/>
    <w:rsid w:val="00726BC8"/>
    <w:rsid w:val="007365DB"/>
    <w:rsid w:val="00764D98"/>
    <w:rsid w:val="00771C4C"/>
    <w:rsid w:val="007771BD"/>
    <w:rsid w:val="00795150"/>
    <w:rsid w:val="007A37EF"/>
    <w:rsid w:val="007A45BD"/>
    <w:rsid w:val="007B1F66"/>
    <w:rsid w:val="007B34E3"/>
    <w:rsid w:val="007B5B8E"/>
    <w:rsid w:val="007B64DA"/>
    <w:rsid w:val="007C1FF6"/>
    <w:rsid w:val="007E482E"/>
    <w:rsid w:val="007F3635"/>
    <w:rsid w:val="007F69C6"/>
    <w:rsid w:val="00801AE7"/>
    <w:rsid w:val="0080208F"/>
    <w:rsid w:val="00806DA3"/>
    <w:rsid w:val="00813BB7"/>
    <w:rsid w:val="008236BA"/>
    <w:rsid w:val="00827D69"/>
    <w:rsid w:val="00877B1B"/>
    <w:rsid w:val="00891EB6"/>
    <w:rsid w:val="00892A25"/>
    <w:rsid w:val="008961EE"/>
    <w:rsid w:val="008C1BDB"/>
    <w:rsid w:val="008E115E"/>
    <w:rsid w:val="008E3301"/>
    <w:rsid w:val="008F2F47"/>
    <w:rsid w:val="00904FD0"/>
    <w:rsid w:val="009143A4"/>
    <w:rsid w:val="00921380"/>
    <w:rsid w:val="00930938"/>
    <w:rsid w:val="00931312"/>
    <w:rsid w:val="00944768"/>
    <w:rsid w:val="00962C56"/>
    <w:rsid w:val="00971088"/>
    <w:rsid w:val="009763D7"/>
    <w:rsid w:val="00987AFD"/>
    <w:rsid w:val="009A0639"/>
    <w:rsid w:val="009B4226"/>
    <w:rsid w:val="009D2C12"/>
    <w:rsid w:val="009F0838"/>
    <w:rsid w:val="009F6A37"/>
    <w:rsid w:val="009F7935"/>
    <w:rsid w:val="00A406EB"/>
    <w:rsid w:val="00A43D5E"/>
    <w:rsid w:val="00A4613F"/>
    <w:rsid w:val="00A6273C"/>
    <w:rsid w:val="00A63C47"/>
    <w:rsid w:val="00A72220"/>
    <w:rsid w:val="00A762E4"/>
    <w:rsid w:val="00AB2B49"/>
    <w:rsid w:val="00AC04DF"/>
    <w:rsid w:val="00AC1EF0"/>
    <w:rsid w:val="00AD2199"/>
    <w:rsid w:val="00AE2B46"/>
    <w:rsid w:val="00AE3199"/>
    <w:rsid w:val="00AE324A"/>
    <w:rsid w:val="00AE53F2"/>
    <w:rsid w:val="00AF76BB"/>
    <w:rsid w:val="00B018F8"/>
    <w:rsid w:val="00B02400"/>
    <w:rsid w:val="00B1505B"/>
    <w:rsid w:val="00B34709"/>
    <w:rsid w:val="00B41554"/>
    <w:rsid w:val="00B50B6D"/>
    <w:rsid w:val="00B73482"/>
    <w:rsid w:val="00B8586E"/>
    <w:rsid w:val="00B914A7"/>
    <w:rsid w:val="00BA163F"/>
    <w:rsid w:val="00BA4163"/>
    <w:rsid w:val="00BB181C"/>
    <w:rsid w:val="00BC66B9"/>
    <w:rsid w:val="00BD0004"/>
    <w:rsid w:val="00BD1858"/>
    <w:rsid w:val="00BD63A3"/>
    <w:rsid w:val="00BD6D96"/>
    <w:rsid w:val="00BE25A5"/>
    <w:rsid w:val="00BE6D34"/>
    <w:rsid w:val="00C01A17"/>
    <w:rsid w:val="00C04327"/>
    <w:rsid w:val="00C14CE9"/>
    <w:rsid w:val="00C20731"/>
    <w:rsid w:val="00C2432F"/>
    <w:rsid w:val="00C2565E"/>
    <w:rsid w:val="00C37964"/>
    <w:rsid w:val="00C47658"/>
    <w:rsid w:val="00C53F5C"/>
    <w:rsid w:val="00C71273"/>
    <w:rsid w:val="00C77376"/>
    <w:rsid w:val="00CB3314"/>
    <w:rsid w:val="00D15CB0"/>
    <w:rsid w:val="00D20716"/>
    <w:rsid w:val="00D21CFB"/>
    <w:rsid w:val="00D75756"/>
    <w:rsid w:val="00DA6DA6"/>
    <w:rsid w:val="00DC3394"/>
    <w:rsid w:val="00DD2196"/>
    <w:rsid w:val="00DD5880"/>
    <w:rsid w:val="00DE0090"/>
    <w:rsid w:val="00DF23A8"/>
    <w:rsid w:val="00DF2B40"/>
    <w:rsid w:val="00E04C53"/>
    <w:rsid w:val="00E256D0"/>
    <w:rsid w:val="00E35810"/>
    <w:rsid w:val="00E364EF"/>
    <w:rsid w:val="00E52357"/>
    <w:rsid w:val="00E55C8A"/>
    <w:rsid w:val="00E60E83"/>
    <w:rsid w:val="00E67516"/>
    <w:rsid w:val="00EB1848"/>
    <w:rsid w:val="00ED39BD"/>
    <w:rsid w:val="00EE488E"/>
    <w:rsid w:val="00EF154F"/>
    <w:rsid w:val="00EF268A"/>
    <w:rsid w:val="00F05181"/>
    <w:rsid w:val="00F108E7"/>
    <w:rsid w:val="00F33DEF"/>
    <w:rsid w:val="00F432E6"/>
    <w:rsid w:val="00F4434F"/>
    <w:rsid w:val="00F549EC"/>
    <w:rsid w:val="00F70096"/>
    <w:rsid w:val="00F71A58"/>
    <w:rsid w:val="00F77C59"/>
    <w:rsid w:val="00F840A8"/>
    <w:rsid w:val="00F93BB9"/>
    <w:rsid w:val="00FA7BC6"/>
    <w:rsid w:val="00FB3362"/>
    <w:rsid w:val="00FC7028"/>
    <w:rsid w:val="00FC7148"/>
    <w:rsid w:val="00FD2AF4"/>
    <w:rsid w:val="00FD7521"/>
    <w:rsid w:val="00FF47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0D34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31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713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7132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7132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7132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71327"/>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71327"/>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7132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71327"/>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7132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33D3F"/>
    <w:pPr>
      <w:spacing w:after="0" w:line="240" w:lineRule="auto"/>
    </w:pPr>
  </w:style>
  <w:style w:type="paragraph" w:styleId="NormalWeb">
    <w:name w:val="Normal (Web)"/>
    <w:basedOn w:val="Normal"/>
    <w:uiPriority w:val="99"/>
    <w:unhideWhenUsed/>
    <w:rsid w:val="00571327"/>
    <w:pPr>
      <w:spacing w:before="100" w:beforeAutospacing="1" w:after="100" w:afterAutospacing="1"/>
    </w:pPr>
  </w:style>
  <w:style w:type="character" w:customStyle="1" w:styleId="Heading9Char">
    <w:name w:val="Heading 9 Char"/>
    <w:basedOn w:val="DefaultParagraphFont"/>
    <w:link w:val="Heading9"/>
    <w:uiPriority w:val="9"/>
    <w:semiHidden/>
    <w:rsid w:val="00571327"/>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571327"/>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571327"/>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571327"/>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571327"/>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57132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571327"/>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571327"/>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571327"/>
    <w:rPr>
      <w:rFonts w:asciiTheme="majorHAnsi" w:eastAsiaTheme="majorEastAsia" w:hAnsiTheme="majorHAnsi" w:cstheme="majorBidi"/>
      <w:b/>
      <w:bCs/>
      <w:color w:val="365F91" w:themeColor="accent1" w:themeShade="BF"/>
      <w:sz w:val="28"/>
      <w:szCs w:val="28"/>
    </w:rPr>
  </w:style>
  <w:style w:type="character" w:customStyle="1" w:styleId="ssleftalign">
    <w:name w:val="ss_leftalign"/>
    <w:basedOn w:val="DefaultParagraphFont"/>
    <w:rsid w:val="00571327"/>
  </w:style>
  <w:style w:type="character" w:styleId="Hyperlink">
    <w:name w:val="Hyperlink"/>
    <w:basedOn w:val="DefaultParagraphFont"/>
    <w:uiPriority w:val="99"/>
    <w:semiHidden/>
    <w:unhideWhenUsed/>
    <w:rsid w:val="00571327"/>
    <w:rPr>
      <w:color w:val="0000FF"/>
      <w:u w:val="single"/>
    </w:rPr>
  </w:style>
  <w:style w:type="character" w:customStyle="1" w:styleId="sspagshow">
    <w:name w:val="ss_pag_show"/>
    <w:basedOn w:val="DefaultParagraphFont"/>
    <w:rsid w:val="00571327"/>
  </w:style>
  <w:style w:type="paragraph" w:styleId="BalloonText">
    <w:name w:val="Balloon Text"/>
    <w:basedOn w:val="Normal"/>
    <w:link w:val="BalloonTextChar"/>
    <w:uiPriority w:val="99"/>
    <w:semiHidden/>
    <w:unhideWhenUsed/>
    <w:rsid w:val="00E35810"/>
    <w:rPr>
      <w:rFonts w:ascii="Tahoma" w:hAnsi="Tahoma" w:cs="Tahoma"/>
      <w:sz w:val="16"/>
      <w:szCs w:val="16"/>
    </w:rPr>
  </w:style>
  <w:style w:type="character" w:customStyle="1" w:styleId="BalloonTextChar">
    <w:name w:val="Balloon Text Char"/>
    <w:basedOn w:val="DefaultParagraphFont"/>
    <w:link w:val="BalloonText"/>
    <w:uiPriority w:val="99"/>
    <w:semiHidden/>
    <w:rsid w:val="00E35810"/>
    <w:rPr>
      <w:rFonts w:ascii="Tahoma" w:hAnsi="Tahoma" w:cs="Tahoma"/>
      <w:sz w:val="16"/>
      <w:szCs w:val="16"/>
    </w:rPr>
  </w:style>
  <w:style w:type="paragraph" w:styleId="Header">
    <w:name w:val="header"/>
    <w:basedOn w:val="Normal"/>
    <w:link w:val="HeaderChar"/>
    <w:uiPriority w:val="99"/>
    <w:unhideWhenUsed/>
    <w:rsid w:val="00B34709"/>
    <w:pPr>
      <w:tabs>
        <w:tab w:val="center" w:pos="4680"/>
        <w:tab w:val="right" w:pos="9360"/>
      </w:tabs>
    </w:pPr>
  </w:style>
  <w:style w:type="character" w:customStyle="1" w:styleId="HeaderChar">
    <w:name w:val="Header Char"/>
    <w:basedOn w:val="DefaultParagraphFont"/>
    <w:link w:val="Header"/>
    <w:uiPriority w:val="99"/>
    <w:rsid w:val="00B34709"/>
  </w:style>
  <w:style w:type="paragraph" w:styleId="Footer">
    <w:name w:val="footer"/>
    <w:basedOn w:val="Normal"/>
    <w:link w:val="FooterChar"/>
    <w:uiPriority w:val="99"/>
    <w:unhideWhenUsed/>
    <w:rsid w:val="00B34709"/>
    <w:pPr>
      <w:tabs>
        <w:tab w:val="center" w:pos="4680"/>
        <w:tab w:val="right" w:pos="9360"/>
      </w:tabs>
    </w:pPr>
  </w:style>
  <w:style w:type="character" w:customStyle="1" w:styleId="FooterChar">
    <w:name w:val="Footer Char"/>
    <w:basedOn w:val="DefaultParagraphFont"/>
    <w:link w:val="Footer"/>
    <w:uiPriority w:val="99"/>
    <w:rsid w:val="00B34709"/>
  </w:style>
  <w:style w:type="paragraph" w:styleId="ListParagraph">
    <w:name w:val="List Paragraph"/>
    <w:basedOn w:val="Normal"/>
    <w:uiPriority w:val="34"/>
    <w:qFormat/>
    <w:rsid w:val="000661D6"/>
    <w:pPr>
      <w:ind w:left="720"/>
      <w:contextualSpacing/>
    </w:pPr>
  </w:style>
  <w:style w:type="character" w:styleId="Strong">
    <w:name w:val="Strong"/>
    <w:basedOn w:val="DefaultParagraphFont"/>
    <w:uiPriority w:val="22"/>
    <w:qFormat/>
    <w:rsid w:val="002951A6"/>
    <w:rPr>
      <w:b/>
      <w:bCs/>
    </w:rPr>
  </w:style>
  <w:style w:type="character" w:styleId="FollowedHyperlink">
    <w:name w:val="FollowedHyperlink"/>
    <w:basedOn w:val="DefaultParagraphFont"/>
    <w:uiPriority w:val="99"/>
    <w:semiHidden/>
    <w:unhideWhenUsed/>
    <w:rsid w:val="00813BB7"/>
    <w:rPr>
      <w:color w:val="800080" w:themeColor="followedHyperlink"/>
      <w:u w:val="single"/>
    </w:rPr>
  </w:style>
  <w:style w:type="character" w:customStyle="1" w:styleId="ssrfcpassagedeactivated">
    <w:name w:val="ss_rfcpassage_deactivated"/>
    <w:basedOn w:val="DefaultParagraphFont"/>
    <w:rsid w:val="00EF154F"/>
  </w:style>
  <w:style w:type="character" w:customStyle="1" w:styleId="ssens">
    <w:name w:val="ssens"/>
    <w:basedOn w:val="DefaultParagraphFont"/>
    <w:rsid w:val="00CB3314"/>
  </w:style>
  <w:style w:type="character" w:styleId="Emphasis">
    <w:name w:val="Emphasis"/>
    <w:basedOn w:val="DefaultParagraphFont"/>
    <w:uiPriority w:val="20"/>
    <w:qFormat/>
    <w:rsid w:val="00CB3314"/>
    <w:rPr>
      <w:i/>
      <w:iCs/>
    </w:rPr>
  </w:style>
  <w:style w:type="character" w:customStyle="1" w:styleId="vi">
    <w:name w:val="vi"/>
    <w:basedOn w:val="DefaultParagraphFont"/>
    <w:rsid w:val="00CB3314"/>
  </w:style>
  <w:style w:type="paragraph" w:customStyle="1" w:styleId="Default">
    <w:name w:val="Default"/>
    <w:rsid w:val="00ED39B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sit">
    <w:name w:val="ss_it"/>
    <w:basedOn w:val="DefaultParagraphFont"/>
    <w:rsid w:val="00372092"/>
  </w:style>
  <w:style w:type="character" w:customStyle="1" w:styleId="ssib">
    <w:name w:val="ss_ib"/>
    <w:basedOn w:val="DefaultParagraphFont"/>
    <w:rsid w:val="00372092"/>
  </w:style>
  <w:style w:type="character" w:customStyle="1" w:styleId="ssun">
    <w:name w:val="ss_un"/>
    <w:basedOn w:val="DefaultParagraphFont"/>
    <w:rsid w:val="00277397"/>
  </w:style>
  <w:style w:type="paragraph" w:customStyle="1" w:styleId="Normal1">
    <w:name w:val="Normal1"/>
    <w:basedOn w:val="Normal"/>
    <w:uiPriority w:val="99"/>
    <w:rsid w:val="00B41554"/>
    <w:pPr>
      <w:spacing w:before="100" w:beforeAutospacing="1" w:after="100" w:afterAutospacing="1"/>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31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713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7132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7132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7132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71327"/>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71327"/>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7132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71327"/>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7132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33D3F"/>
    <w:pPr>
      <w:spacing w:after="0" w:line="240" w:lineRule="auto"/>
    </w:pPr>
  </w:style>
  <w:style w:type="paragraph" w:styleId="NormalWeb">
    <w:name w:val="Normal (Web)"/>
    <w:basedOn w:val="Normal"/>
    <w:uiPriority w:val="99"/>
    <w:unhideWhenUsed/>
    <w:rsid w:val="00571327"/>
    <w:pPr>
      <w:spacing w:before="100" w:beforeAutospacing="1" w:after="100" w:afterAutospacing="1"/>
    </w:pPr>
  </w:style>
  <w:style w:type="character" w:customStyle="1" w:styleId="Heading9Char">
    <w:name w:val="Heading 9 Char"/>
    <w:basedOn w:val="DefaultParagraphFont"/>
    <w:link w:val="Heading9"/>
    <w:uiPriority w:val="9"/>
    <w:semiHidden/>
    <w:rsid w:val="00571327"/>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571327"/>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571327"/>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571327"/>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571327"/>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57132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571327"/>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571327"/>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571327"/>
    <w:rPr>
      <w:rFonts w:asciiTheme="majorHAnsi" w:eastAsiaTheme="majorEastAsia" w:hAnsiTheme="majorHAnsi" w:cstheme="majorBidi"/>
      <w:b/>
      <w:bCs/>
      <w:color w:val="365F91" w:themeColor="accent1" w:themeShade="BF"/>
      <w:sz w:val="28"/>
      <w:szCs w:val="28"/>
    </w:rPr>
  </w:style>
  <w:style w:type="character" w:customStyle="1" w:styleId="ssleftalign">
    <w:name w:val="ss_leftalign"/>
    <w:basedOn w:val="DefaultParagraphFont"/>
    <w:rsid w:val="00571327"/>
  </w:style>
  <w:style w:type="character" w:styleId="Hyperlink">
    <w:name w:val="Hyperlink"/>
    <w:basedOn w:val="DefaultParagraphFont"/>
    <w:uiPriority w:val="99"/>
    <w:semiHidden/>
    <w:unhideWhenUsed/>
    <w:rsid w:val="00571327"/>
    <w:rPr>
      <w:color w:val="0000FF"/>
      <w:u w:val="single"/>
    </w:rPr>
  </w:style>
  <w:style w:type="character" w:customStyle="1" w:styleId="sspagshow">
    <w:name w:val="ss_pag_show"/>
    <w:basedOn w:val="DefaultParagraphFont"/>
    <w:rsid w:val="00571327"/>
  </w:style>
  <w:style w:type="paragraph" w:styleId="BalloonText">
    <w:name w:val="Balloon Text"/>
    <w:basedOn w:val="Normal"/>
    <w:link w:val="BalloonTextChar"/>
    <w:uiPriority w:val="99"/>
    <w:semiHidden/>
    <w:unhideWhenUsed/>
    <w:rsid w:val="00E35810"/>
    <w:rPr>
      <w:rFonts w:ascii="Tahoma" w:hAnsi="Tahoma" w:cs="Tahoma"/>
      <w:sz w:val="16"/>
      <w:szCs w:val="16"/>
    </w:rPr>
  </w:style>
  <w:style w:type="character" w:customStyle="1" w:styleId="BalloonTextChar">
    <w:name w:val="Balloon Text Char"/>
    <w:basedOn w:val="DefaultParagraphFont"/>
    <w:link w:val="BalloonText"/>
    <w:uiPriority w:val="99"/>
    <w:semiHidden/>
    <w:rsid w:val="00E35810"/>
    <w:rPr>
      <w:rFonts w:ascii="Tahoma" w:hAnsi="Tahoma" w:cs="Tahoma"/>
      <w:sz w:val="16"/>
      <w:szCs w:val="16"/>
    </w:rPr>
  </w:style>
  <w:style w:type="paragraph" w:styleId="Header">
    <w:name w:val="header"/>
    <w:basedOn w:val="Normal"/>
    <w:link w:val="HeaderChar"/>
    <w:uiPriority w:val="99"/>
    <w:unhideWhenUsed/>
    <w:rsid w:val="00B34709"/>
    <w:pPr>
      <w:tabs>
        <w:tab w:val="center" w:pos="4680"/>
        <w:tab w:val="right" w:pos="9360"/>
      </w:tabs>
    </w:pPr>
  </w:style>
  <w:style w:type="character" w:customStyle="1" w:styleId="HeaderChar">
    <w:name w:val="Header Char"/>
    <w:basedOn w:val="DefaultParagraphFont"/>
    <w:link w:val="Header"/>
    <w:uiPriority w:val="99"/>
    <w:rsid w:val="00B34709"/>
  </w:style>
  <w:style w:type="paragraph" w:styleId="Footer">
    <w:name w:val="footer"/>
    <w:basedOn w:val="Normal"/>
    <w:link w:val="FooterChar"/>
    <w:uiPriority w:val="99"/>
    <w:unhideWhenUsed/>
    <w:rsid w:val="00B34709"/>
    <w:pPr>
      <w:tabs>
        <w:tab w:val="center" w:pos="4680"/>
        <w:tab w:val="right" w:pos="9360"/>
      </w:tabs>
    </w:pPr>
  </w:style>
  <w:style w:type="character" w:customStyle="1" w:styleId="FooterChar">
    <w:name w:val="Footer Char"/>
    <w:basedOn w:val="DefaultParagraphFont"/>
    <w:link w:val="Footer"/>
    <w:uiPriority w:val="99"/>
    <w:rsid w:val="00B34709"/>
  </w:style>
  <w:style w:type="paragraph" w:styleId="ListParagraph">
    <w:name w:val="List Paragraph"/>
    <w:basedOn w:val="Normal"/>
    <w:uiPriority w:val="34"/>
    <w:qFormat/>
    <w:rsid w:val="000661D6"/>
    <w:pPr>
      <w:ind w:left="720"/>
      <w:contextualSpacing/>
    </w:pPr>
  </w:style>
  <w:style w:type="character" w:styleId="Strong">
    <w:name w:val="Strong"/>
    <w:basedOn w:val="DefaultParagraphFont"/>
    <w:uiPriority w:val="22"/>
    <w:qFormat/>
    <w:rsid w:val="002951A6"/>
    <w:rPr>
      <w:b/>
      <w:bCs/>
    </w:rPr>
  </w:style>
  <w:style w:type="character" w:styleId="FollowedHyperlink">
    <w:name w:val="FollowedHyperlink"/>
    <w:basedOn w:val="DefaultParagraphFont"/>
    <w:uiPriority w:val="99"/>
    <w:semiHidden/>
    <w:unhideWhenUsed/>
    <w:rsid w:val="00813BB7"/>
    <w:rPr>
      <w:color w:val="800080" w:themeColor="followedHyperlink"/>
      <w:u w:val="single"/>
    </w:rPr>
  </w:style>
  <w:style w:type="character" w:customStyle="1" w:styleId="ssrfcpassagedeactivated">
    <w:name w:val="ss_rfcpassage_deactivated"/>
    <w:basedOn w:val="DefaultParagraphFont"/>
    <w:rsid w:val="00EF154F"/>
  </w:style>
  <w:style w:type="character" w:customStyle="1" w:styleId="ssens">
    <w:name w:val="ssens"/>
    <w:basedOn w:val="DefaultParagraphFont"/>
    <w:rsid w:val="00CB3314"/>
  </w:style>
  <w:style w:type="character" w:styleId="Emphasis">
    <w:name w:val="Emphasis"/>
    <w:basedOn w:val="DefaultParagraphFont"/>
    <w:uiPriority w:val="20"/>
    <w:qFormat/>
    <w:rsid w:val="00CB3314"/>
    <w:rPr>
      <w:i/>
      <w:iCs/>
    </w:rPr>
  </w:style>
  <w:style w:type="character" w:customStyle="1" w:styleId="vi">
    <w:name w:val="vi"/>
    <w:basedOn w:val="DefaultParagraphFont"/>
    <w:rsid w:val="00CB3314"/>
  </w:style>
  <w:style w:type="paragraph" w:customStyle="1" w:styleId="Default">
    <w:name w:val="Default"/>
    <w:rsid w:val="00ED39B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sit">
    <w:name w:val="ss_it"/>
    <w:basedOn w:val="DefaultParagraphFont"/>
    <w:rsid w:val="00372092"/>
  </w:style>
  <w:style w:type="character" w:customStyle="1" w:styleId="ssib">
    <w:name w:val="ss_ib"/>
    <w:basedOn w:val="DefaultParagraphFont"/>
    <w:rsid w:val="00372092"/>
  </w:style>
  <w:style w:type="character" w:customStyle="1" w:styleId="ssun">
    <w:name w:val="ss_un"/>
    <w:basedOn w:val="DefaultParagraphFont"/>
    <w:rsid w:val="00277397"/>
  </w:style>
  <w:style w:type="paragraph" w:customStyle="1" w:styleId="Normal1">
    <w:name w:val="Normal1"/>
    <w:basedOn w:val="Normal"/>
    <w:uiPriority w:val="99"/>
    <w:rsid w:val="00B4155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10693">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25902247">
      <w:bodyDiv w:val="1"/>
      <w:marLeft w:val="0"/>
      <w:marRight w:val="0"/>
      <w:marTop w:val="0"/>
      <w:marBottom w:val="0"/>
      <w:divBdr>
        <w:top w:val="none" w:sz="0" w:space="0" w:color="auto"/>
        <w:left w:val="none" w:sz="0" w:space="0" w:color="auto"/>
        <w:bottom w:val="none" w:sz="0" w:space="0" w:color="auto"/>
        <w:right w:val="none" w:sz="0" w:space="0" w:color="auto"/>
      </w:divBdr>
    </w:div>
    <w:div w:id="211238980">
      <w:bodyDiv w:val="1"/>
      <w:marLeft w:val="0"/>
      <w:marRight w:val="0"/>
      <w:marTop w:val="0"/>
      <w:marBottom w:val="0"/>
      <w:divBdr>
        <w:top w:val="none" w:sz="0" w:space="0" w:color="auto"/>
        <w:left w:val="none" w:sz="0" w:space="0" w:color="auto"/>
        <w:bottom w:val="none" w:sz="0" w:space="0" w:color="auto"/>
        <w:right w:val="none" w:sz="0" w:space="0" w:color="auto"/>
      </w:divBdr>
    </w:div>
    <w:div w:id="304823524">
      <w:bodyDiv w:val="1"/>
      <w:marLeft w:val="0"/>
      <w:marRight w:val="0"/>
      <w:marTop w:val="0"/>
      <w:marBottom w:val="0"/>
      <w:divBdr>
        <w:top w:val="none" w:sz="0" w:space="0" w:color="auto"/>
        <w:left w:val="none" w:sz="0" w:space="0" w:color="auto"/>
        <w:bottom w:val="none" w:sz="0" w:space="0" w:color="auto"/>
        <w:right w:val="none" w:sz="0" w:space="0" w:color="auto"/>
      </w:divBdr>
    </w:div>
    <w:div w:id="373309915">
      <w:bodyDiv w:val="1"/>
      <w:marLeft w:val="0"/>
      <w:marRight w:val="0"/>
      <w:marTop w:val="0"/>
      <w:marBottom w:val="0"/>
      <w:divBdr>
        <w:top w:val="none" w:sz="0" w:space="0" w:color="auto"/>
        <w:left w:val="none" w:sz="0" w:space="0" w:color="auto"/>
        <w:bottom w:val="none" w:sz="0" w:space="0" w:color="auto"/>
        <w:right w:val="none" w:sz="0" w:space="0" w:color="auto"/>
      </w:divBdr>
    </w:div>
    <w:div w:id="475922977">
      <w:bodyDiv w:val="1"/>
      <w:marLeft w:val="0"/>
      <w:marRight w:val="0"/>
      <w:marTop w:val="0"/>
      <w:marBottom w:val="0"/>
      <w:divBdr>
        <w:top w:val="none" w:sz="0" w:space="0" w:color="auto"/>
        <w:left w:val="none" w:sz="0" w:space="0" w:color="auto"/>
        <w:bottom w:val="none" w:sz="0" w:space="0" w:color="auto"/>
        <w:right w:val="none" w:sz="0" w:space="0" w:color="auto"/>
      </w:divBdr>
    </w:div>
    <w:div w:id="485366608">
      <w:bodyDiv w:val="1"/>
      <w:marLeft w:val="0"/>
      <w:marRight w:val="0"/>
      <w:marTop w:val="0"/>
      <w:marBottom w:val="0"/>
      <w:divBdr>
        <w:top w:val="none" w:sz="0" w:space="0" w:color="auto"/>
        <w:left w:val="none" w:sz="0" w:space="0" w:color="auto"/>
        <w:bottom w:val="none" w:sz="0" w:space="0" w:color="auto"/>
        <w:right w:val="none" w:sz="0" w:space="0" w:color="auto"/>
      </w:divBdr>
    </w:div>
    <w:div w:id="491411700">
      <w:bodyDiv w:val="1"/>
      <w:marLeft w:val="0"/>
      <w:marRight w:val="0"/>
      <w:marTop w:val="0"/>
      <w:marBottom w:val="0"/>
      <w:divBdr>
        <w:top w:val="none" w:sz="0" w:space="0" w:color="auto"/>
        <w:left w:val="none" w:sz="0" w:space="0" w:color="auto"/>
        <w:bottom w:val="none" w:sz="0" w:space="0" w:color="auto"/>
        <w:right w:val="none" w:sz="0" w:space="0" w:color="auto"/>
      </w:divBdr>
    </w:div>
    <w:div w:id="499588276">
      <w:bodyDiv w:val="1"/>
      <w:marLeft w:val="0"/>
      <w:marRight w:val="0"/>
      <w:marTop w:val="0"/>
      <w:marBottom w:val="0"/>
      <w:divBdr>
        <w:top w:val="none" w:sz="0" w:space="0" w:color="auto"/>
        <w:left w:val="none" w:sz="0" w:space="0" w:color="auto"/>
        <w:bottom w:val="none" w:sz="0" w:space="0" w:color="auto"/>
        <w:right w:val="none" w:sz="0" w:space="0" w:color="auto"/>
      </w:divBdr>
    </w:div>
    <w:div w:id="538588339">
      <w:bodyDiv w:val="1"/>
      <w:marLeft w:val="0"/>
      <w:marRight w:val="0"/>
      <w:marTop w:val="0"/>
      <w:marBottom w:val="0"/>
      <w:divBdr>
        <w:top w:val="none" w:sz="0" w:space="0" w:color="auto"/>
        <w:left w:val="none" w:sz="0" w:space="0" w:color="auto"/>
        <w:bottom w:val="none" w:sz="0" w:space="0" w:color="auto"/>
        <w:right w:val="none" w:sz="0" w:space="0" w:color="auto"/>
      </w:divBdr>
    </w:div>
    <w:div w:id="643702118">
      <w:bodyDiv w:val="1"/>
      <w:marLeft w:val="0"/>
      <w:marRight w:val="0"/>
      <w:marTop w:val="0"/>
      <w:marBottom w:val="0"/>
      <w:divBdr>
        <w:top w:val="none" w:sz="0" w:space="0" w:color="auto"/>
        <w:left w:val="none" w:sz="0" w:space="0" w:color="auto"/>
        <w:bottom w:val="none" w:sz="0" w:space="0" w:color="auto"/>
        <w:right w:val="none" w:sz="0" w:space="0" w:color="auto"/>
      </w:divBdr>
      <w:divsChild>
        <w:div w:id="14726259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6693829">
      <w:bodyDiv w:val="1"/>
      <w:marLeft w:val="0"/>
      <w:marRight w:val="0"/>
      <w:marTop w:val="0"/>
      <w:marBottom w:val="0"/>
      <w:divBdr>
        <w:top w:val="none" w:sz="0" w:space="0" w:color="auto"/>
        <w:left w:val="none" w:sz="0" w:space="0" w:color="auto"/>
        <w:bottom w:val="none" w:sz="0" w:space="0" w:color="auto"/>
        <w:right w:val="none" w:sz="0" w:space="0" w:color="auto"/>
      </w:divBdr>
    </w:div>
    <w:div w:id="824661369">
      <w:bodyDiv w:val="1"/>
      <w:marLeft w:val="0"/>
      <w:marRight w:val="0"/>
      <w:marTop w:val="0"/>
      <w:marBottom w:val="0"/>
      <w:divBdr>
        <w:top w:val="none" w:sz="0" w:space="0" w:color="auto"/>
        <w:left w:val="none" w:sz="0" w:space="0" w:color="auto"/>
        <w:bottom w:val="none" w:sz="0" w:space="0" w:color="auto"/>
        <w:right w:val="none" w:sz="0" w:space="0" w:color="auto"/>
      </w:divBdr>
    </w:div>
    <w:div w:id="861557181">
      <w:bodyDiv w:val="1"/>
      <w:marLeft w:val="0"/>
      <w:marRight w:val="0"/>
      <w:marTop w:val="0"/>
      <w:marBottom w:val="0"/>
      <w:divBdr>
        <w:top w:val="none" w:sz="0" w:space="0" w:color="auto"/>
        <w:left w:val="none" w:sz="0" w:space="0" w:color="auto"/>
        <w:bottom w:val="none" w:sz="0" w:space="0" w:color="auto"/>
        <w:right w:val="none" w:sz="0" w:space="0" w:color="auto"/>
      </w:divBdr>
    </w:div>
    <w:div w:id="938760966">
      <w:bodyDiv w:val="1"/>
      <w:marLeft w:val="0"/>
      <w:marRight w:val="0"/>
      <w:marTop w:val="0"/>
      <w:marBottom w:val="0"/>
      <w:divBdr>
        <w:top w:val="none" w:sz="0" w:space="0" w:color="auto"/>
        <w:left w:val="none" w:sz="0" w:space="0" w:color="auto"/>
        <w:bottom w:val="none" w:sz="0" w:space="0" w:color="auto"/>
        <w:right w:val="none" w:sz="0" w:space="0" w:color="auto"/>
      </w:divBdr>
    </w:div>
    <w:div w:id="964968750">
      <w:bodyDiv w:val="1"/>
      <w:marLeft w:val="0"/>
      <w:marRight w:val="0"/>
      <w:marTop w:val="0"/>
      <w:marBottom w:val="0"/>
      <w:divBdr>
        <w:top w:val="none" w:sz="0" w:space="0" w:color="auto"/>
        <w:left w:val="none" w:sz="0" w:space="0" w:color="auto"/>
        <w:bottom w:val="none" w:sz="0" w:space="0" w:color="auto"/>
        <w:right w:val="none" w:sz="0" w:space="0" w:color="auto"/>
      </w:divBdr>
    </w:div>
    <w:div w:id="1089229711">
      <w:bodyDiv w:val="1"/>
      <w:marLeft w:val="0"/>
      <w:marRight w:val="0"/>
      <w:marTop w:val="0"/>
      <w:marBottom w:val="0"/>
      <w:divBdr>
        <w:top w:val="none" w:sz="0" w:space="0" w:color="auto"/>
        <w:left w:val="none" w:sz="0" w:space="0" w:color="auto"/>
        <w:bottom w:val="none" w:sz="0" w:space="0" w:color="auto"/>
        <w:right w:val="none" w:sz="0" w:space="0" w:color="auto"/>
      </w:divBdr>
    </w:div>
    <w:div w:id="1110468877">
      <w:bodyDiv w:val="1"/>
      <w:marLeft w:val="0"/>
      <w:marRight w:val="0"/>
      <w:marTop w:val="0"/>
      <w:marBottom w:val="0"/>
      <w:divBdr>
        <w:top w:val="none" w:sz="0" w:space="0" w:color="auto"/>
        <w:left w:val="none" w:sz="0" w:space="0" w:color="auto"/>
        <w:bottom w:val="none" w:sz="0" w:space="0" w:color="auto"/>
        <w:right w:val="none" w:sz="0" w:space="0" w:color="auto"/>
      </w:divBdr>
    </w:div>
    <w:div w:id="1135829048">
      <w:bodyDiv w:val="1"/>
      <w:marLeft w:val="0"/>
      <w:marRight w:val="0"/>
      <w:marTop w:val="0"/>
      <w:marBottom w:val="0"/>
      <w:divBdr>
        <w:top w:val="none" w:sz="0" w:space="0" w:color="auto"/>
        <w:left w:val="none" w:sz="0" w:space="0" w:color="auto"/>
        <w:bottom w:val="none" w:sz="0" w:space="0" w:color="auto"/>
        <w:right w:val="none" w:sz="0" w:space="0" w:color="auto"/>
      </w:divBdr>
    </w:div>
    <w:div w:id="1145467250">
      <w:bodyDiv w:val="1"/>
      <w:marLeft w:val="0"/>
      <w:marRight w:val="0"/>
      <w:marTop w:val="0"/>
      <w:marBottom w:val="0"/>
      <w:divBdr>
        <w:top w:val="none" w:sz="0" w:space="0" w:color="auto"/>
        <w:left w:val="none" w:sz="0" w:space="0" w:color="auto"/>
        <w:bottom w:val="none" w:sz="0" w:space="0" w:color="auto"/>
        <w:right w:val="none" w:sz="0" w:space="0" w:color="auto"/>
      </w:divBdr>
    </w:div>
    <w:div w:id="1180463277">
      <w:bodyDiv w:val="1"/>
      <w:marLeft w:val="0"/>
      <w:marRight w:val="0"/>
      <w:marTop w:val="0"/>
      <w:marBottom w:val="0"/>
      <w:divBdr>
        <w:top w:val="none" w:sz="0" w:space="0" w:color="auto"/>
        <w:left w:val="none" w:sz="0" w:space="0" w:color="auto"/>
        <w:bottom w:val="none" w:sz="0" w:space="0" w:color="auto"/>
        <w:right w:val="none" w:sz="0" w:space="0" w:color="auto"/>
      </w:divBdr>
    </w:div>
    <w:div w:id="1246040103">
      <w:bodyDiv w:val="1"/>
      <w:marLeft w:val="0"/>
      <w:marRight w:val="0"/>
      <w:marTop w:val="0"/>
      <w:marBottom w:val="0"/>
      <w:divBdr>
        <w:top w:val="none" w:sz="0" w:space="0" w:color="auto"/>
        <w:left w:val="none" w:sz="0" w:space="0" w:color="auto"/>
        <w:bottom w:val="none" w:sz="0" w:space="0" w:color="auto"/>
        <w:right w:val="none" w:sz="0" w:space="0" w:color="auto"/>
      </w:divBdr>
    </w:div>
    <w:div w:id="1277712409">
      <w:bodyDiv w:val="1"/>
      <w:marLeft w:val="0"/>
      <w:marRight w:val="0"/>
      <w:marTop w:val="0"/>
      <w:marBottom w:val="0"/>
      <w:divBdr>
        <w:top w:val="none" w:sz="0" w:space="0" w:color="auto"/>
        <w:left w:val="none" w:sz="0" w:space="0" w:color="auto"/>
        <w:bottom w:val="none" w:sz="0" w:space="0" w:color="auto"/>
        <w:right w:val="none" w:sz="0" w:space="0" w:color="auto"/>
      </w:divBdr>
    </w:div>
    <w:div w:id="1413549104">
      <w:bodyDiv w:val="1"/>
      <w:marLeft w:val="0"/>
      <w:marRight w:val="0"/>
      <w:marTop w:val="0"/>
      <w:marBottom w:val="0"/>
      <w:divBdr>
        <w:top w:val="none" w:sz="0" w:space="0" w:color="auto"/>
        <w:left w:val="none" w:sz="0" w:space="0" w:color="auto"/>
        <w:bottom w:val="none" w:sz="0" w:space="0" w:color="auto"/>
        <w:right w:val="none" w:sz="0" w:space="0" w:color="auto"/>
      </w:divBdr>
    </w:div>
    <w:div w:id="1478767414">
      <w:bodyDiv w:val="1"/>
      <w:marLeft w:val="0"/>
      <w:marRight w:val="0"/>
      <w:marTop w:val="0"/>
      <w:marBottom w:val="0"/>
      <w:divBdr>
        <w:top w:val="none" w:sz="0" w:space="0" w:color="auto"/>
        <w:left w:val="none" w:sz="0" w:space="0" w:color="auto"/>
        <w:bottom w:val="none" w:sz="0" w:space="0" w:color="auto"/>
        <w:right w:val="none" w:sz="0" w:space="0" w:color="auto"/>
      </w:divBdr>
      <w:divsChild>
        <w:div w:id="1948660665">
          <w:marLeft w:val="0"/>
          <w:marRight w:val="0"/>
          <w:marTop w:val="0"/>
          <w:marBottom w:val="0"/>
          <w:divBdr>
            <w:top w:val="none" w:sz="0" w:space="0" w:color="auto"/>
            <w:left w:val="none" w:sz="0" w:space="0" w:color="auto"/>
            <w:bottom w:val="none" w:sz="0" w:space="0" w:color="auto"/>
            <w:right w:val="none" w:sz="0" w:space="0" w:color="auto"/>
          </w:divBdr>
          <w:divsChild>
            <w:div w:id="543954825">
              <w:marLeft w:val="0"/>
              <w:marRight w:val="0"/>
              <w:marTop w:val="0"/>
              <w:marBottom w:val="0"/>
              <w:divBdr>
                <w:top w:val="none" w:sz="0" w:space="0" w:color="auto"/>
                <w:left w:val="none" w:sz="0" w:space="0" w:color="auto"/>
                <w:bottom w:val="none" w:sz="0" w:space="0" w:color="auto"/>
                <w:right w:val="none" w:sz="0" w:space="0" w:color="auto"/>
              </w:divBdr>
              <w:divsChild>
                <w:div w:id="374625143">
                  <w:marLeft w:val="0"/>
                  <w:marRight w:val="0"/>
                  <w:marTop w:val="0"/>
                  <w:marBottom w:val="0"/>
                  <w:divBdr>
                    <w:top w:val="none" w:sz="0" w:space="0" w:color="auto"/>
                    <w:left w:val="none" w:sz="0" w:space="0" w:color="auto"/>
                    <w:bottom w:val="none" w:sz="0" w:space="0" w:color="auto"/>
                    <w:right w:val="none" w:sz="0" w:space="0" w:color="auto"/>
                  </w:divBdr>
                  <w:divsChild>
                    <w:div w:id="879440943">
                      <w:marLeft w:val="0"/>
                      <w:marRight w:val="0"/>
                      <w:marTop w:val="0"/>
                      <w:marBottom w:val="0"/>
                      <w:divBdr>
                        <w:top w:val="none" w:sz="0" w:space="0" w:color="auto"/>
                        <w:left w:val="none" w:sz="0" w:space="0" w:color="auto"/>
                        <w:bottom w:val="none" w:sz="0" w:space="0" w:color="auto"/>
                        <w:right w:val="none" w:sz="0" w:space="0" w:color="auto"/>
                      </w:divBdr>
                      <w:divsChild>
                        <w:div w:id="2125614016">
                          <w:marLeft w:val="0"/>
                          <w:marRight w:val="0"/>
                          <w:marTop w:val="0"/>
                          <w:marBottom w:val="0"/>
                          <w:divBdr>
                            <w:top w:val="none" w:sz="0" w:space="0" w:color="auto"/>
                            <w:left w:val="none" w:sz="0" w:space="0" w:color="auto"/>
                            <w:bottom w:val="none" w:sz="0" w:space="0" w:color="auto"/>
                            <w:right w:val="none" w:sz="0" w:space="0" w:color="auto"/>
                          </w:divBdr>
                          <w:divsChild>
                            <w:div w:id="62072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5048286">
      <w:bodyDiv w:val="1"/>
      <w:marLeft w:val="0"/>
      <w:marRight w:val="0"/>
      <w:marTop w:val="0"/>
      <w:marBottom w:val="0"/>
      <w:divBdr>
        <w:top w:val="none" w:sz="0" w:space="0" w:color="auto"/>
        <w:left w:val="none" w:sz="0" w:space="0" w:color="auto"/>
        <w:bottom w:val="none" w:sz="0" w:space="0" w:color="auto"/>
        <w:right w:val="none" w:sz="0" w:space="0" w:color="auto"/>
      </w:divBdr>
    </w:div>
    <w:div w:id="1495878783">
      <w:bodyDiv w:val="1"/>
      <w:marLeft w:val="0"/>
      <w:marRight w:val="0"/>
      <w:marTop w:val="0"/>
      <w:marBottom w:val="0"/>
      <w:divBdr>
        <w:top w:val="none" w:sz="0" w:space="0" w:color="auto"/>
        <w:left w:val="none" w:sz="0" w:space="0" w:color="auto"/>
        <w:bottom w:val="none" w:sz="0" w:space="0" w:color="auto"/>
        <w:right w:val="none" w:sz="0" w:space="0" w:color="auto"/>
      </w:divBdr>
    </w:div>
    <w:div w:id="1654720249">
      <w:bodyDiv w:val="1"/>
      <w:marLeft w:val="0"/>
      <w:marRight w:val="0"/>
      <w:marTop w:val="0"/>
      <w:marBottom w:val="0"/>
      <w:divBdr>
        <w:top w:val="none" w:sz="0" w:space="0" w:color="auto"/>
        <w:left w:val="none" w:sz="0" w:space="0" w:color="auto"/>
        <w:bottom w:val="none" w:sz="0" w:space="0" w:color="auto"/>
        <w:right w:val="none" w:sz="0" w:space="0" w:color="auto"/>
      </w:divBdr>
      <w:divsChild>
        <w:div w:id="678851318">
          <w:marLeft w:val="0"/>
          <w:marRight w:val="0"/>
          <w:marTop w:val="0"/>
          <w:marBottom w:val="0"/>
          <w:divBdr>
            <w:top w:val="none" w:sz="0" w:space="0" w:color="auto"/>
            <w:left w:val="none" w:sz="0" w:space="0" w:color="auto"/>
            <w:bottom w:val="none" w:sz="0" w:space="0" w:color="auto"/>
            <w:right w:val="none" w:sz="0" w:space="0" w:color="auto"/>
          </w:divBdr>
          <w:divsChild>
            <w:div w:id="486939534">
              <w:marLeft w:val="0"/>
              <w:marRight w:val="0"/>
              <w:marTop w:val="0"/>
              <w:marBottom w:val="0"/>
              <w:divBdr>
                <w:top w:val="none" w:sz="0" w:space="0" w:color="auto"/>
                <w:left w:val="none" w:sz="0" w:space="0" w:color="auto"/>
                <w:bottom w:val="none" w:sz="0" w:space="0" w:color="auto"/>
                <w:right w:val="none" w:sz="0" w:space="0" w:color="auto"/>
              </w:divBdr>
            </w:div>
            <w:div w:id="2060936063">
              <w:marLeft w:val="0"/>
              <w:marRight w:val="0"/>
              <w:marTop w:val="0"/>
              <w:marBottom w:val="0"/>
              <w:divBdr>
                <w:top w:val="none" w:sz="0" w:space="0" w:color="auto"/>
                <w:left w:val="none" w:sz="0" w:space="0" w:color="auto"/>
                <w:bottom w:val="none" w:sz="0" w:space="0" w:color="auto"/>
                <w:right w:val="none" w:sz="0" w:space="0" w:color="auto"/>
              </w:divBdr>
            </w:div>
          </w:divsChild>
        </w:div>
        <w:div w:id="853498205">
          <w:marLeft w:val="0"/>
          <w:marRight w:val="0"/>
          <w:marTop w:val="0"/>
          <w:marBottom w:val="0"/>
          <w:divBdr>
            <w:top w:val="none" w:sz="0" w:space="0" w:color="auto"/>
            <w:left w:val="none" w:sz="0" w:space="0" w:color="auto"/>
            <w:bottom w:val="none" w:sz="0" w:space="0" w:color="auto"/>
            <w:right w:val="none" w:sz="0" w:space="0" w:color="auto"/>
          </w:divBdr>
          <w:divsChild>
            <w:div w:id="1017343595">
              <w:marLeft w:val="0"/>
              <w:marRight w:val="0"/>
              <w:marTop w:val="0"/>
              <w:marBottom w:val="0"/>
              <w:divBdr>
                <w:top w:val="none" w:sz="0" w:space="0" w:color="auto"/>
                <w:left w:val="none" w:sz="0" w:space="0" w:color="auto"/>
                <w:bottom w:val="none" w:sz="0" w:space="0" w:color="auto"/>
                <w:right w:val="none" w:sz="0" w:space="0" w:color="auto"/>
              </w:divBdr>
            </w:div>
            <w:div w:id="1805078495">
              <w:marLeft w:val="0"/>
              <w:marRight w:val="0"/>
              <w:marTop w:val="0"/>
              <w:marBottom w:val="0"/>
              <w:divBdr>
                <w:top w:val="none" w:sz="0" w:space="0" w:color="auto"/>
                <w:left w:val="none" w:sz="0" w:space="0" w:color="auto"/>
                <w:bottom w:val="none" w:sz="0" w:space="0" w:color="auto"/>
                <w:right w:val="none" w:sz="0" w:space="0" w:color="auto"/>
              </w:divBdr>
            </w:div>
          </w:divsChild>
        </w:div>
        <w:div w:id="1714424778">
          <w:marLeft w:val="0"/>
          <w:marRight w:val="0"/>
          <w:marTop w:val="0"/>
          <w:marBottom w:val="0"/>
          <w:divBdr>
            <w:top w:val="none" w:sz="0" w:space="0" w:color="auto"/>
            <w:left w:val="none" w:sz="0" w:space="0" w:color="auto"/>
            <w:bottom w:val="none" w:sz="0" w:space="0" w:color="auto"/>
            <w:right w:val="none" w:sz="0" w:space="0" w:color="auto"/>
          </w:divBdr>
          <w:divsChild>
            <w:div w:id="2073238636">
              <w:marLeft w:val="0"/>
              <w:marRight w:val="0"/>
              <w:marTop w:val="0"/>
              <w:marBottom w:val="0"/>
              <w:divBdr>
                <w:top w:val="none" w:sz="0" w:space="0" w:color="auto"/>
                <w:left w:val="none" w:sz="0" w:space="0" w:color="auto"/>
                <w:bottom w:val="none" w:sz="0" w:space="0" w:color="auto"/>
                <w:right w:val="none" w:sz="0" w:space="0" w:color="auto"/>
              </w:divBdr>
            </w:div>
          </w:divsChild>
        </w:div>
        <w:div w:id="2047216093">
          <w:marLeft w:val="0"/>
          <w:marRight w:val="0"/>
          <w:marTop w:val="0"/>
          <w:marBottom w:val="0"/>
          <w:divBdr>
            <w:top w:val="none" w:sz="0" w:space="0" w:color="auto"/>
            <w:left w:val="none" w:sz="0" w:space="0" w:color="auto"/>
            <w:bottom w:val="none" w:sz="0" w:space="0" w:color="auto"/>
            <w:right w:val="none" w:sz="0" w:space="0" w:color="auto"/>
          </w:divBdr>
          <w:divsChild>
            <w:div w:id="1528713401">
              <w:marLeft w:val="0"/>
              <w:marRight w:val="0"/>
              <w:marTop w:val="0"/>
              <w:marBottom w:val="0"/>
              <w:divBdr>
                <w:top w:val="none" w:sz="0" w:space="0" w:color="auto"/>
                <w:left w:val="none" w:sz="0" w:space="0" w:color="auto"/>
                <w:bottom w:val="none" w:sz="0" w:space="0" w:color="auto"/>
                <w:right w:val="none" w:sz="0" w:space="0" w:color="auto"/>
              </w:divBdr>
            </w:div>
            <w:div w:id="158271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090960">
      <w:bodyDiv w:val="1"/>
      <w:marLeft w:val="0"/>
      <w:marRight w:val="0"/>
      <w:marTop w:val="0"/>
      <w:marBottom w:val="0"/>
      <w:divBdr>
        <w:top w:val="none" w:sz="0" w:space="0" w:color="auto"/>
        <w:left w:val="none" w:sz="0" w:space="0" w:color="auto"/>
        <w:bottom w:val="none" w:sz="0" w:space="0" w:color="auto"/>
        <w:right w:val="none" w:sz="0" w:space="0" w:color="auto"/>
      </w:divBdr>
    </w:div>
    <w:div w:id="1886864461">
      <w:bodyDiv w:val="1"/>
      <w:marLeft w:val="0"/>
      <w:marRight w:val="0"/>
      <w:marTop w:val="0"/>
      <w:marBottom w:val="0"/>
      <w:divBdr>
        <w:top w:val="none" w:sz="0" w:space="0" w:color="auto"/>
        <w:left w:val="none" w:sz="0" w:space="0" w:color="auto"/>
        <w:bottom w:val="none" w:sz="0" w:space="0" w:color="auto"/>
        <w:right w:val="none" w:sz="0" w:space="0" w:color="auto"/>
      </w:divBdr>
    </w:div>
    <w:div w:id="1994672456">
      <w:bodyDiv w:val="1"/>
      <w:marLeft w:val="0"/>
      <w:marRight w:val="0"/>
      <w:marTop w:val="0"/>
      <w:marBottom w:val="0"/>
      <w:divBdr>
        <w:top w:val="none" w:sz="0" w:space="0" w:color="auto"/>
        <w:left w:val="none" w:sz="0" w:space="0" w:color="auto"/>
        <w:bottom w:val="none" w:sz="0" w:space="0" w:color="auto"/>
        <w:right w:val="none" w:sz="0" w:space="0" w:color="auto"/>
      </w:divBdr>
    </w:div>
    <w:div w:id="2073845816">
      <w:bodyDiv w:val="1"/>
      <w:marLeft w:val="0"/>
      <w:marRight w:val="0"/>
      <w:marTop w:val="0"/>
      <w:marBottom w:val="0"/>
      <w:divBdr>
        <w:top w:val="none" w:sz="0" w:space="0" w:color="auto"/>
        <w:left w:val="none" w:sz="0" w:space="0" w:color="auto"/>
        <w:bottom w:val="none" w:sz="0" w:space="0" w:color="auto"/>
        <w:right w:val="none" w:sz="0" w:space="0" w:color="auto"/>
      </w:divBdr>
    </w:div>
    <w:div w:id="2131506323">
      <w:bodyDiv w:val="1"/>
      <w:marLeft w:val="0"/>
      <w:marRight w:val="0"/>
      <w:marTop w:val="0"/>
      <w:marBottom w:val="0"/>
      <w:divBdr>
        <w:top w:val="none" w:sz="0" w:space="0" w:color="auto"/>
        <w:left w:val="none" w:sz="0" w:space="0" w:color="auto"/>
        <w:bottom w:val="none" w:sz="0" w:space="0" w:color="auto"/>
        <w:right w:val="none" w:sz="0" w:space="0" w:color="auto"/>
      </w:divBdr>
    </w:div>
    <w:div w:id="213957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F5550-0C11-4541-9DCF-DC3AA7FB6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4993</Words>
  <Characters>26014</Characters>
  <Application>Microsoft Macintosh Word</Application>
  <DocSecurity>0</DocSecurity>
  <Lines>481</Lines>
  <Paragraphs>148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30859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2012-03-22T12:59:00Z</cp:lastPrinted>
  <dcterms:created xsi:type="dcterms:W3CDTF">2012-04-11T01:58:00Z</dcterms:created>
  <dcterms:modified xsi:type="dcterms:W3CDTF">2012-06-02T12:50:00Z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96cd04a8-966e-4391-9c8f-5421fe4220c5</vt:lpwstr>
  </property>
  <property fmtid="{D5CDD505-2E9C-101B-9397-08002B2CF9AE}" pid="3" name="DocumentToolsEventId">
    <vt:lpwstr>d71bea17-7f39-4e7d-a9f9-f681b661df2f</vt:lpwstr>
  </property>
</Properties>
</file>